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1.png" ContentType="image/png"/>
  <Override PartName="/word/media/rId27.png" ContentType="image/png"/>
  <Override PartName="/word/media/rId36.png" ContentType="image/png"/>
  <Override PartName="/word/media/rId39.png" ContentType="image/png"/>
  <Override PartName="/word/media/rId4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problem is pointed out, namely the disagreement between our pre-industrial result and observation-based transformation estimates for the modern Southern Ocean. We took that criticism seriously and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σ2 36.75 to 37.00 where heat contributes 70% of the transformation. Denser class is haline dominated, with the sea ice term supplying 93% of the transformation above σ2 37.00, and the lighter classes are dominated by the freshwater terms. The thermal signature is therefore confined to a narrow band at intermediate and mode water densities, and it sits lighter than the bottom water cell that Pellichero et al. describe.</w:t>
      </w:r>
    </w:p>
    <w:p>
      <w:pPr>
        <w:pStyle w:val="BodyText"/>
      </w:pPr>
      <w:r>
        <w:rPr>
          <w:color w:val="0000CC"/>
          <w:bCs/>
          <w:b/>
        </w:rPr>
        <w:t xml:space="preserve">For glacial states,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9"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5" w:name="general-comments"/>
    <w:p>
      <w:pPr>
        <w:pStyle w:val="Heading2"/>
      </w:pPr>
      <w:r>
        <w:t xml:space="preserve">General comments</w:t>
      </w:r>
    </w:p>
    <w:bookmarkStart w:id="24" w:name="X1960b3ed9d369e12345b661e2632536d43b149f"/>
    <w:p>
      <w:pPr>
        <w:pStyle w:val="Heading3"/>
      </w:pPr>
      <w:r>
        <w:t xml:space="preserve">Model evaluation and confidence in simulated dense water formation</w:t>
      </w:r>
    </w:p>
    <w:p>
      <w:pPr>
        <w:pStyle w:val="FirstParagraph"/>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sea ice concentration, is the part of our domain where the comparison is meaningful, and because theirs is the estimate most often set against model results of this kind. To match them we recomputed our transformation over that sector,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5±5 Sv. The sign structure and the order of magnitude of the densification branch therefore agree, though our light-end buoyancy gain is weaker than theirs, and our whole curve sits at lighter densities because the simulated Southern Ocean surface is fresher than observed.</w:t>
      </w:r>
    </w:p>
    <w:p>
      <w:pPr>
        <w:pStyle w:val="BodyText"/>
      </w:pPr>
      <w:r>
        <w:rPr>
          <w:color w:val="0000CC"/>
          <w:bCs/>
          <w:b/>
        </w:rPr>
        <w:t xml:space="preserve">Two differences should be noted.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such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bookmarkEnd w:id="24"/>
    <w:bookmarkStart w:id="25" w:name="boundary-conditions"/>
    <w:p>
      <w:pPr>
        <w:pStyle w:val="Heading3"/>
      </w:pPr>
      <w:r>
        <w:t xml:space="preserve">Boundary conditions</w:t>
      </w:r>
    </w:p>
    <w:p>
      <w:pPr>
        <w:pStyle w:val="FirstParagraph"/>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bookmarkEnd w:id="25"/>
    <w:bookmarkStart w:id="26" w:name="clarifying-several-interpretations"/>
    <w:p>
      <w:pPr>
        <w:pStyle w:val="Heading3"/>
      </w:pPr>
      <w:r>
        <w:t xml:space="preserve">Clarifying several interpretations</w:t>
      </w:r>
    </w:p>
    <w:p>
      <w:pPr>
        <w:pStyle w:val="FirstParagraph"/>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bookmarkEnd w:id="26"/>
    <w:bookmarkStart w:id="30" w:name="model-limitations"/>
    <w:p>
      <w:pPr>
        <w:pStyle w:val="Heading3"/>
      </w:pPr>
      <w:r>
        <w:t xml:space="preserve">Model limitations</w:t>
      </w:r>
    </w:p>
    <w:p>
      <w:pPr>
        <w:pStyle w:val="FirstParagraph"/>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8" name="Picture"/>
            <a:graphic>
              <a:graphicData uri="http://schemas.openxmlformats.org/drawingml/2006/picture">
                <pic:pic>
                  <pic:nvPicPr>
                    <pic:cNvPr descr="/work/ba1066/a270064/cc_projects/aabw_5exps/nc_paper/SUBMISSION/letter_figs/figR17_mld_pi_vs_obs.png" id="29" name="Picture"/>
                    <pic:cNvPicPr>
                      <a:picLocks noChangeArrowheads="1" noChangeAspect="1"/>
                    </pic:cNvPicPr>
                  </pic:nvPicPr>
                  <pic:blipFill>
                    <a:blip r:embed="rId27"/>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bookmarkEnd w:id="30"/>
    <w:bookmarkStart w:id="34" w:name="X6c83ac5c91116ba0d40b556dadef3c13df8006f"/>
    <w:p>
      <w:pPr>
        <w:pStyle w:val="Heading3"/>
      </w:pPr>
      <w:r>
        <w:t xml:space="preserve">Latitude and longitude labels, and subpanel references</w:t>
      </w:r>
    </w:p>
    <w:p>
      <w:pPr>
        <w:pStyle w:val="FirstParagraph"/>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14324"/>
            <wp:effectExtent b="0" l="0" r="0" t="0"/>
            <wp:docPr descr="" title="" id="32" name="Picture"/>
            <a:graphic>
              <a:graphicData uri="http://schemas.openxmlformats.org/drawingml/2006/picture">
                <pic:pic>
                  <pic:nvPicPr>
                    <pic:cNvPr descr="/work/ba1066/a270064/cc_projects/aabw_5exps/nc_paper/SUBMISSION/letter_figs/fig_age_labels-1.png" id="33" name="Picture"/>
                    <pic:cNvPicPr>
                      <a:picLocks noChangeArrowheads="1" noChangeAspect="1"/>
                    </pic:cNvPicPr>
                  </pic:nvPicPr>
                  <pic:blipFill>
                    <a:blip r:embed="rId31"/>
                    <a:stretch>
                      <a:fillRect/>
                    </a:stretch>
                  </pic:blipFill>
                  <pic:spPr bwMode="auto">
                    <a:xfrm>
                      <a:off x="0" y="0"/>
                      <a:ext cx="5334000" cy="3814324"/>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just outside the map boundary and latitude circles along the 150°E meridian, at 60°S, 70°S and 80°S. Labels are placed only where there is white space, so that those of neighbouring panels do not run into one another and nothing is written over the data. The mixed layer, wind stress and composite figures have been treated the same way; please refer to the revised manuscript and supplement for the complete set.</w:t>
      </w:r>
    </w:p>
    <w:bookmarkEnd w:id="34"/>
    <w:bookmarkEnd w:id="35"/>
    <w:bookmarkStart w:id="48"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7" name="Picture"/>
            <a:graphic>
              <a:graphicData uri="http://schemas.openxmlformats.org/drawingml/2006/picture">
                <pic:pic>
                  <pic:nvPicPr>
                    <pic:cNvPr descr="/work/ba1066/a270064/cc_projects/aabw_5exps/nc_paper/SUBMISSION/letter_figs/figR7_mld_glacial_zoom.png" id="38" name="Picture"/>
                    <pic:cNvPicPr>
                      <a:picLocks noChangeArrowheads="1" noChangeAspect="1"/>
                    </pic:cNvPicPr>
                  </pic:nvPicPr>
                  <pic:blipFill>
                    <a:blip r:embed="rId36"/>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40" name="Picture"/>
            <a:graphic>
              <a:graphicData uri="http://schemas.openxmlformats.org/drawingml/2006/picture">
                <pic:pic>
                  <pic:nvPicPr>
                    <pic:cNvPr descr="/work/ba1066/a270064/cc_projects/aabw_5exps/nc_paper/SUBMISSION/letter_figs/figR9_ross_sector.png" id="41" name="Picture"/>
                    <pic:cNvPicPr>
                      <a:picLocks noChangeArrowheads="1" noChangeAspect="1"/>
                    </pic:cNvPicPr>
                  </pic:nvPicPr>
                  <pic:blipFill>
                    <a:blip r:embed="rId39"/>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3" name="Picture"/>
            <a:graphic>
              <a:graphicData uri="http://schemas.openxmlformats.org/drawingml/2006/picture">
                <pic:pic>
                  <pic:nvPicPr>
                    <pic:cNvPr descr="/work/ba1066/a270064/cc_projects/aabw_5exps/nc_paper/SUBMISSION/letter_figs/figS_common_axis-1.png" id="44" name="Picture"/>
                    <pic:cNvPicPr>
                      <a:picLocks noChangeArrowheads="1" noChangeAspect="1"/>
                    </pic:cNvPicPr>
                  </pic:nvPicPr>
                  <pic:blipFill>
                    <a:blip r:embed="rId42"/>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5447594"/>
            <wp:effectExtent b="0" l="0" r="0" t="0"/>
            <wp:docPr descr="" title="" id="46" name="Picture"/>
            <a:graphic>
              <a:graphicData uri="http://schemas.openxmlformats.org/drawingml/2006/picture">
                <pic:pic>
                  <pic:nvPicPr>
                    <pic:cNvPr descr="/work/ba1066/a270064/cc_projects/aabw_5exps/nc_paper/SUBMISSION/letter_figs/fig03_labels-1.png" id="47" name="Picture"/>
                    <pic:cNvPicPr>
                      <a:picLocks noChangeArrowheads="1" noChangeAspect="1"/>
                    </pic:cNvPicPr>
                  </pic:nvPicPr>
                  <pic:blipFill>
                    <a:blip r:embed="rId45"/>
                    <a:stretch>
                      <a:fillRect/>
                    </a:stretch>
                  </pic:blipFill>
                  <pic:spPr bwMode="auto">
                    <a:xfrm>
                      <a:off x="0" y="0"/>
                      <a:ext cx="5334000" cy="5447594"/>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and with latitude and longitude now labelled. Every panel carries the latitude circles, at 50°S, 60°S, 70°S and 80°S along 150°E, and the 180° meridian. The remaining meridians are given on the outer columns only, 60°W and 120°W on the left and 60°E and 120°E on the right, so that no label falls between two panels; all panels share the same projection and extent. All labels sit outside the frame. The freshwater counterpart, Fig. 4, has been treated the same way.</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8"/>
    <w:bookmarkEnd w:id="49"/>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2026-10-14T04:23:38Z</dcterms:created>
  <dcterms:modified xsi:type="dcterms:W3CDTF">2026-10-14T04:23:38Z</dcterms:modified>
</cp:coreProperties>
</file>

<file path=docProps/custom.xml><?xml version="1.0" encoding="utf-8"?>
<Properties xmlns="http://schemas.openxmlformats.org/officeDocument/2006/custom-properties" xmlns:vt="http://schemas.openxmlformats.org/officeDocument/2006/docPropsVTypes"/>
</file>