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116C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13" w:lineRule="atLeast"/>
        <w:jc w:val="center"/>
        <w:rPr>
          <w:rFonts w:ascii="微软雅黑" w:hAnsi="微软雅黑" w:eastAsia="微软雅黑" w:cs="微软雅黑"/>
          <w:b/>
          <w:bCs/>
          <w:color w:val="FFFFFF"/>
          <w:spacing w:val="45"/>
          <w:sz w:val="34"/>
          <w:szCs w:val="34"/>
        </w:rPr>
      </w:pPr>
      <w:r>
        <w:rPr>
          <w:rFonts w:hint="eastAsia" w:ascii="微软雅黑" w:hAnsi="微软雅黑" w:eastAsia="微软雅黑" w:cs="微软雅黑"/>
          <w:b/>
          <w:bCs/>
          <w:color w:val="FFFFFF"/>
          <w:spacing w:val="45"/>
          <w:sz w:val="34"/>
          <w:szCs w:val="34"/>
          <w:bdr w:val="none" w:color="auto" w:sz="0" w:space="0"/>
        </w:rPr>
        <w:t>技术方案</w:t>
      </w:r>
    </w:p>
    <w:p w14:paraId="2E113E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75" w:afterAutospacing="0" w:line="13" w:lineRule="atLeast"/>
        <w:jc w:val="center"/>
        <w:rPr>
          <w:rFonts w:hint="eastAsia" w:ascii="微软雅黑" w:hAnsi="微软雅黑" w:eastAsia="微软雅黑" w:cs="微软雅黑"/>
          <w:color w:val="FFFFFF"/>
          <w:spacing w:val="23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FFFFFF"/>
          <w:spacing w:val="23"/>
          <w:sz w:val="16"/>
          <w:szCs w:val="16"/>
          <w:bdr w:val="none" w:color="auto" w:sz="0" w:space="0"/>
        </w:rPr>
        <w:t>Technical Proposal</w:t>
      </w:r>
    </w:p>
    <w:p w14:paraId="00ECDE40">
      <w:pPr>
        <w:pStyle w:val="10"/>
        <w:keepNext w:val="0"/>
        <w:keepLines w:val="0"/>
        <w:widowControl/>
        <w:suppressLineNumbers w:val="0"/>
        <w:spacing w:before="556" w:beforeAutospacing="0" w:after="105" w:afterAutospacing="0" w:line="17" w:lineRule="atLeast"/>
        <w:ind w:left="0" w:right="0" w:firstLine="0"/>
        <w:jc w:val="center"/>
      </w:pPr>
      <w:r>
        <w:rPr>
          <w:rFonts w:hint="eastAsia" w:ascii="微软雅黑" w:hAnsi="微软雅黑" w:eastAsia="微软雅黑" w:cs="微软雅黑"/>
        </w:rPr>
        <w:t>生成日期：2026年3月7日</w:t>
      </w:r>
    </w:p>
    <w:p w14:paraId="3F95D011">
      <w:pPr>
        <w:pStyle w:val="10"/>
        <w:keepNext w:val="0"/>
        <w:keepLines w:val="0"/>
        <w:widowControl/>
        <w:suppressLineNumbers w:val="0"/>
        <w:spacing w:before="676" w:beforeAutospacing="0" w:after="105" w:afterAutospacing="0" w:line="17" w:lineRule="atLeast"/>
        <w:ind w:left="0" w:right="0" w:firstLine="0"/>
        <w:jc w:val="center"/>
      </w:pPr>
      <w:r>
        <w:rPr>
          <w:rFonts w:hint="eastAsia" w:ascii="微软雅黑" w:hAnsi="微软雅黑" w:eastAsia="微软雅黑" w:cs="微软雅黑"/>
        </w:rPr>
        <w:t>智能报价管理系统</w:t>
      </w:r>
    </w:p>
    <w:p w14:paraId="59EEA828">
      <w:pPr>
        <w:pStyle w:val="10"/>
        <w:keepNext w:val="0"/>
        <w:keepLines w:val="0"/>
        <w:widowControl/>
        <w:suppressLineNumbers w:val="0"/>
        <w:spacing w:before="602" w:beforeAutospacing="0" w:after="105" w:afterAutospacing="0" w:line="17" w:lineRule="atLeast"/>
        <w:ind w:left="0" w:right="0" w:firstLine="0"/>
        <w:jc w:val="center"/>
        <w:rPr>
          <w:sz w:val="9"/>
          <w:szCs w:val="9"/>
        </w:rPr>
      </w:pPr>
      <w:r>
        <w:rPr>
          <w:rFonts w:hint="eastAsia" w:ascii="微软雅黑" w:hAnsi="微软雅黑" w:eastAsia="微软雅黑" w:cs="微软雅黑"/>
          <w:sz w:val="9"/>
          <w:szCs w:val="9"/>
        </w:rPr>
        <w:t>Professional Solution</w:t>
      </w:r>
    </w:p>
    <w:p w14:paraId="055A8B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B82F6" w:sz="6" w:space="6"/>
          <w:right w:val="none" w:color="auto" w:sz="0" w:space="0"/>
        </w:pBdr>
        <w:spacing w:after="270" w:afterAutospacing="0" w:line="13" w:lineRule="atLeast"/>
        <w:jc w:val="left"/>
        <w:rPr>
          <w:rFonts w:hint="eastAsia" w:ascii="微软雅黑" w:hAnsi="微软雅黑" w:eastAsia="微软雅黑" w:cs="微软雅黑"/>
          <w:b/>
          <w:bCs/>
          <w:color w:val="1E40AF"/>
          <w:sz w:val="12"/>
          <w:szCs w:val="12"/>
        </w:rPr>
      </w:pPr>
      <w:r>
        <w:rPr>
          <w:rFonts w:hint="eastAsia" w:ascii="微软雅黑" w:hAnsi="微软雅黑" w:eastAsia="微软雅黑" w:cs="微软雅黑"/>
          <w:b/>
          <w:bCs/>
          <w:color w:val="1E40AF"/>
          <w:sz w:val="12"/>
          <w:szCs w:val="12"/>
          <w:bdr w:val="none" w:color="auto" w:sz="0" w:space="0"/>
        </w:rPr>
        <w:t>技术方案</w:t>
      </w:r>
    </w:p>
    <w:p w14:paraId="449B0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B82F6" w:sz="6" w:space="6"/>
          <w:right w:val="none" w:color="auto" w:sz="0" w:space="0"/>
        </w:pBdr>
        <w:spacing w:after="270" w:afterAutospacing="0" w:line="13" w:lineRule="atLeast"/>
        <w:jc w:val="left"/>
        <w:rPr>
          <w:rFonts w:hint="eastAsia" w:ascii="微软雅黑" w:hAnsi="微软雅黑" w:eastAsia="微软雅黑" w:cs="微软雅黑"/>
          <w:color w:val="64748B"/>
          <w:sz w:val="9"/>
          <w:szCs w:val="9"/>
        </w:rPr>
      </w:pPr>
      <w:r>
        <w:rPr>
          <w:rFonts w:hint="eastAsia" w:ascii="微软雅黑" w:hAnsi="微软雅黑" w:eastAsia="微软雅黑" w:cs="微软雅黑"/>
          <w:color w:val="64748B"/>
          <w:sz w:val="9"/>
          <w:szCs w:val="9"/>
          <w:bdr w:val="none" w:color="auto" w:sz="0" w:space="0"/>
        </w:rPr>
        <w:t>2026年3月7日</w:t>
      </w:r>
    </w:p>
    <w:p w14:paraId="3BED5DE0">
      <w:pPr>
        <w:pStyle w:val="2"/>
        <w:keepNext w:val="0"/>
        <w:keepLines w:val="0"/>
        <w:widowControl/>
        <w:suppressLineNumbers w:val="0"/>
        <w:spacing w:line="13" w:lineRule="atLeast"/>
      </w:pPr>
      <w:r>
        <w:rPr>
          <w:bdr w:val="none" w:color="auto" w:sz="0" w:space="0"/>
        </w:rPr>
        <w:t>60吨/天污水处理项目技术方案</w:t>
      </w:r>
    </w:p>
    <w:p w14:paraId="5CE8EDFC">
      <w:pPr>
        <w:pStyle w:val="3"/>
        <w:keepNext w:val="0"/>
        <w:keepLines w:val="0"/>
        <w:widowControl/>
        <w:suppressLineNumbers w:val="0"/>
        <w:spacing w:line="13" w:lineRule="atLeast"/>
      </w:pPr>
      <w:r>
        <w:t>一、项目概述</w:t>
      </w:r>
    </w:p>
    <w:p w14:paraId="61700E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10"/>
          <w:szCs w:val="10"/>
          <w:bdr w:val="none" w:color="auto" w:sz="0" w:space="0"/>
        </w:rPr>
        <w:t>处理规模</w:t>
      </w: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：60吨/天（2.5吨/小时）</w:t>
      </w:r>
    </w:p>
    <w:p w14:paraId="79D49E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10"/>
          <w:szCs w:val="10"/>
          <w:bdr w:val="none" w:color="auto" w:sz="0" w:space="0"/>
        </w:rPr>
        <w:t>设计标准</w:t>
      </w: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：按《城镇污水处理厂污染物排放标准》（GB 18918-2002）一级A标准设计</w:t>
      </w:r>
    </w:p>
    <w:p w14:paraId="29E12C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10"/>
          <w:szCs w:val="10"/>
          <w:bdr w:val="none" w:color="auto" w:sz="0" w:space="0"/>
        </w:rPr>
        <w:t>适用场景</w:t>
      </w: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：小型社区、学校、度假村、工业园区、分散式污水处理站</w:t>
      </w:r>
    </w:p>
    <w:p w14:paraId="0F2EBF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10"/>
          <w:szCs w:val="10"/>
          <w:bdr w:val="none" w:color="auto" w:sz="0" w:space="0"/>
        </w:rPr>
        <w:t>核心目标</w:t>
      </w: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：高效去除COD、BOD、氨氮、总磷、悬浮物，实现稳定达标排放</w:t>
      </w:r>
    </w:p>
    <w:p w14:paraId="2F4C4837">
      <w:pPr>
        <w:pStyle w:val="3"/>
        <w:keepNext w:val="0"/>
        <w:keepLines w:val="0"/>
        <w:widowControl/>
        <w:suppressLineNumbers w:val="0"/>
        <w:spacing w:line="13" w:lineRule="atLeast"/>
      </w:pPr>
      <w:r>
        <w:t>二、工艺比选与推荐</w:t>
      </w:r>
    </w:p>
    <w:tbl>
      <w:tblPr>
        <w:tblW w:w="5000" w:type="pct"/>
        <w:tblInd w:w="0" w:type="dxa"/>
        <w:tblBorders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1"/>
        <w:gridCol w:w="2461"/>
        <w:gridCol w:w="2322"/>
        <w:gridCol w:w="1625"/>
        <w:gridCol w:w="837"/>
      </w:tblGrid>
      <w:tr w14:paraId="239FC228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0C91A197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工艺方案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59D1669B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优点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4EE0ED6B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缺点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7FDD0938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适用性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39D0B95B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投资估算</w:t>
            </w:r>
          </w:p>
        </w:tc>
      </w:tr>
      <w:tr w14:paraId="7212D83E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85C790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b/>
                <w:bCs/>
                <w:color w:val="1E40AF"/>
                <w:sz w:val="9"/>
                <w:szCs w:val="9"/>
                <w:bdr w:val="none" w:color="auto" w:sz="0" w:space="0"/>
              </w:rPr>
              <w:t>A²/O+MBR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B85F32A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出水水质优、占地小、自动化程度高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5DE3AE6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膜需定期清洗更换、运行电耗较高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4C258E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用地紧张、出水要求高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86C3BFA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中等偏高</w:t>
            </w:r>
          </w:p>
        </w:tc>
      </w:tr>
      <w:tr w14:paraId="71550038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988DCC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b/>
                <w:bCs/>
                <w:color w:val="1E40AF"/>
                <w:sz w:val="9"/>
                <w:szCs w:val="9"/>
                <w:bdr w:val="none" w:color="auto" w:sz="0" w:space="0"/>
              </w:rPr>
              <w:t>A²/O+深度处理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850F47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技术成熟、运行稳定、维护简单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FDBFBF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占地较大、污泥产量较多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E517CFF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常规项目、预算有限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8F29B6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中等</w:t>
            </w:r>
          </w:p>
        </w:tc>
      </w:tr>
      <w:tr w14:paraId="47362564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72DCC0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b/>
                <w:bCs/>
                <w:color w:val="1E40AF"/>
                <w:sz w:val="9"/>
                <w:szCs w:val="9"/>
                <w:bdr w:val="none" w:color="auto" w:sz="0" w:space="0"/>
              </w:rPr>
              <w:t>SBR/CAST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0BAA8B6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流程简单、抗冲击负荷强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3659F70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自动化要求高、间歇运行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F5BFF6A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水量波动大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69F707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中等</w:t>
            </w:r>
          </w:p>
        </w:tc>
      </w:tr>
    </w:tbl>
    <w:p w14:paraId="13378F63">
      <w:pPr>
        <w:keepNext w:val="0"/>
        <w:keepLines w:val="0"/>
        <w:widowControl/>
        <w:suppressLineNumbers w:val="0"/>
        <w:jc w:val="left"/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24"/>
          <w:szCs w:val="24"/>
          <w:bdr w:val="none" w:color="auto" w:sz="0" w:space="0"/>
        </w:rPr>
        <w:t>推荐方案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bdr w:val="none" w:color="auto" w:sz="0" w:space="0"/>
        </w:rPr>
        <w:t>：</w:t>
      </w: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24"/>
          <w:szCs w:val="24"/>
          <w:bdr w:val="none" w:color="auto" w:sz="0" w:space="0"/>
        </w:rPr>
        <w:t>A²/O+深度处理工艺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bdr w:val="none" w:color="auto" w:sz="0" w:space="0"/>
        </w:rPr>
        <w:t xml:space="preserve">（兼顾处理效果、运行稳定性和投资成本） </w:t>
      </w:r>
    </w:p>
    <w:p w14:paraId="156E76B5">
      <w:pPr>
        <w:pStyle w:val="3"/>
        <w:keepNext w:val="0"/>
        <w:keepLines w:val="0"/>
        <w:widowControl/>
        <w:suppressLineNumbers w:val="0"/>
        <w:spacing w:line="13" w:lineRule="atLeast"/>
      </w:pPr>
      <w:r>
        <w:t>三、详细配置清单（共112项）</w:t>
      </w:r>
    </w:p>
    <w:p w14:paraId="1DDC699D">
      <w:pPr>
        <w:pStyle w:val="4"/>
        <w:keepNext w:val="0"/>
        <w:keepLines w:val="0"/>
        <w:widowControl/>
        <w:suppressLineNumbers w:val="0"/>
        <w:spacing w:line="13" w:lineRule="atLeast"/>
      </w:pPr>
      <w:r>
        <w:t>1. 预处理单元（18项）</w:t>
      </w:r>
    </w:p>
    <w:tbl>
      <w:tblPr>
        <w:tblW w:w="5000" w:type="pct"/>
        <w:tblInd w:w="0" w:type="dxa"/>
        <w:tblBorders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1490"/>
        <w:gridCol w:w="2134"/>
        <w:gridCol w:w="1682"/>
        <w:gridCol w:w="1271"/>
        <w:gridCol w:w="1193"/>
      </w:tblGrid>
      <w:tr w14:paraId="620A5F69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659D9D86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序号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6827F8B2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设备名称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275371E8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规格型号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2AA61E2A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数量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47996CE4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材质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0F103AA9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备注</w:t>
            </w:r>
          </w:p>
        </w:tc>
      </w:tr>
      <w:tr w14:paraId="2D1F9ADE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DFD36DC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511AA4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机械格栅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67BA3E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HF-300，间隙5mm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C27CA2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1台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2C0F24A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304不锈钢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B5A4604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自动清渣</w:t>
            </w:r>
          </w:p>
        </w:tc>
      </w:tr>
      <w:tr w14:paraId="0B33292D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93D241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0087E14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调节池提升泵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B1000D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WQ10-10-1.5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FC3ED2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2台（1用1备）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1FDF64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铸铁/不锈钢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1CD246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带耦合装置</w:t>
            </w:r>
          </w:p>
        </w:tc>
      </w:tr>
      <w:tr w14:paraId="0B94D9FC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75CAC04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A43B7BC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调节池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4F836A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有效容积30m³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F50C35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1座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F655609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钢砼/玻璃钢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4E95624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带液位控制</w:t>
            </w:r>
          </w:p>
        </w:tc>
      </w:tr>
      <w:tr w14:paraId="3FC9225E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E2C0AB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2C8E469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潜水搅拌器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061E54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QJB0.85/8-260/3-740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A1C186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2台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211D4D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不锈钢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B5AE2E4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防止沉淀</w:t>
            </w:r>
          </w:p>
        </w:tc>
      </w:tr>
      <w:tr w14:paraId="5CF33B56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79471E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74C47F9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pH在线监测仪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369E887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PHG-2081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059C2A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1套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8E84F1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-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3F972FF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带自动调节</w:t>
            </w:r>
          </w:p>
        </w:tc>
      </w:tr>
      <w:tr w14:paraId="267FC390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396DD2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A34638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7EE7A4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501097F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DAF792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F9FF54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</w:tr>
    </w:tbl>
    <w:p w14:paraId="0DD4B371">
      <w:pPr>
        <w:pStyle w:val="4"/>
        <w:keepNext w:val="0"/>
        <w:keepLines w:val="0"/>
        <w:widowControl/>
        <w:suppressLineNumbers w:val="0"/>
        <w:spacing w:line="13" w:lineRule="atLeast"/>
      </w:pPr>
      <w:r>
        <w:t>2. 生化处理单元（A²/O工艺，42项）</w:t>
      </w:r>
    </w:p>
    <w:tbl>
      <w:tblPr>
        <w:tblW w:w="5000" w:type="pct"/>
        <w:tblInd w:w="0" w:type="dxa"/>
        <w:tblBorders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7"/>
        <w:gridCol w:w="1469"/>
        <w:gridCol w:w="2259"/>
        <w:gridCol w:w="1594"/>
        <w:gridCol w:w="1204"/>
        <w:gridCol w:w="1283"/>
      </w:tblGrid>
      <w:tr w14:paraId="04BADA62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091C9C7B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序号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6CE9F2B3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设备名称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31F363A2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规格型号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521B02F3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数量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5583A311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材质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4736ADCE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备注</w:t>
            </w:r>
          </w:p>
        </w:tc>
      </w:tr>
      <w:tr w14:paraId="0509AD9E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DFBABF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19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D60971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厌氧池搅拌器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5DFBD17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QJB1.5/6-260/3-980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AA8F24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2台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BB50EE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不锈钢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C502AE4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低速推流</w:t>
            </w:r>
          </w:p>
        </w:tc>
      </w:tr>
      <w:tr w14:paraId="3A997F0B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9E6A86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20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F7D7FD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缺氧池搅拌器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C448DAA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QJB1.5/6-260/3-980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0C02750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2台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4EED59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不锈钢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A45255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低速推流</w:t>
            </w:r>
          </w:p>
        </w:tc>
      </w:tr>
      <w:tr w14:paraId="510FC73B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83D111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21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579B60D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好氧池曝气系统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1818E9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Φ215微孔曝气器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1F6939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120套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BF9B2D4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EPDM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5F2D90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均匀布气</w:t>
            </w:r>
          </w:p>
        </w:tc>
      </w:tr>
      <w:tr w14:paraId="293FE355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E2C563A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22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6F53DE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罗茨鼓风机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CB48446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SSR-80，风量3.2m³/min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84EC9B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2台（1用1备）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FF265B7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铸铁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AC6336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变频控制</w:t>
            </w:r>
          </w:p>
        </w:tc>
      </w:tr>
      <w:tr w14:paraId="680EBDA8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355DC00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23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7D9A18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混合液回流泵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336886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WQ15-15-2.2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E15E8C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2台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1F3159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铸铁/不锈钢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04DD61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回流比200%</w:t>
            </w:r>
          </w:p>
        </w:tc>
      </w:tr>
      <w:tr w14:paraId="0BFC8EB4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D7DEB0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24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A06E877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污泥回流泵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015C000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WQ10-10-1.5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4E598F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2台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ABF905C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铸铁/不锈钢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3B3AF1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回流比100%</w:t>
            </w:r>
          </w:p>
        </w:tc>
      </w:tr>
      <w:tr w14:paraId="2E6578F8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0A01A2F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14F498C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A3FED2F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240D6B0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CC89CF9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F83316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</w:tr>
    </w:tbl>
    <w:p w14:paraId="49104E40">
      <w:pPr>
        <w:pStyle w:val="4"/>
        <w:keepNext w:val="0"/>
        <w:keepLines w:val="0"/>
        <w:widowControl/>
        <w:suppressLineNumbers w:val="0"/>
        <w:spacing w:line="13" w:lineRule="atLeast"/>
      </w:pPr>
      <w:r>
        <w:t>3. 深度处理单元（28项）</w:t>
      </w:r>
    </w:p>
    <w:tbl>
      <w:tblPr>
        <w:tblW w:w="5000" w:type="pct"/>
        <w:tblInd w:w="0" w:type="dxa"/>
        <w:tblBorders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4"/>
        <w:gridCol w:w="1483"/>
        <w:gridCol w:w="2599"/>
        <w:gridCol w:w="774"/>
        <w:gridCol w:w="1373"/>
        <w:gridCol w:w="1483"/>
      </w:tblGrid>
      <w:tr w14:paraId="3F1B7886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155FC9BF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序号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65695502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设备名称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78DC18F3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规格型号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3DC09850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数量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062A7CB1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材质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1631C982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备注</w:t>
            </w:r>
          </w:p>
        </w:tc>
      </w:tr>
      <w:tr w14:paraId="6C88521D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470545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61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DF62AE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斜管沉淀池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0E21330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Φ3.0×4.5m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981C3AC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1套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830E1F7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玻璃钢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B5AD30F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内置斜管填料</w:t>
            </w:r>
          </w:p>
        </w:tc>
      </w:tr>
      <w:tr w14:paraId="62481ECD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9ED66B4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62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89C062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混凝加药装置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A61098F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JY-500L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4ED481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1套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C5A5BB6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PE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1E9D3A6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PAC投加</w:t>
            </w:r>
          </w:p>
        </w:tc>
      </w:tr>
      <w:tr w14:paraId="4A62964A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175CA0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63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E94DD77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絮凝加药装置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CA5E2A7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JY-500L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8774F7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1套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976205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PE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B7FDCB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PAM投加</w:t>
            </w:r>
          </w:p>
        </w:tc>
      </w:tr>
      <w:tr w14:paraId="0DBAC75B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E51E444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64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9606D14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消毒装置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7B8E02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紫外线消毒器，40W×8支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CF1298F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1套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93145E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304不锈钢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115141C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过流式</w:t>
            </w:r>
          </w:p>
        </w:tc>
      </w:tr>
      <w:tr w14:paraId="00B660F9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60207AD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65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604979C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清水池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28771C6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有效容积10m³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1C75D1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1座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A861C16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钢砼/玻璃钢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AA9DFE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回用/排放</w:t>
            </w:r>
          </w:p>
        </w:tc>
      </w:tr>
      <w:tr w14:paraId="1C5E3A0C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D5E6D8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BCC8FBA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09E6790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4B0C86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A645A9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0EF0E5D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</w:tr>
    </w:tbl>
    <w:p w14:paraId="3F088118">
      <w:pPr>
        <w:pStyle w:val="4"/>
        <w:keepNext w:val="0"/>
        <w:keepLines w:val="0"/>
        <w:widowControl/>
        <w:suppressLineNumbers w:val="0"/>
        <w:spacing w:line="13" w:lineRule="atLeast"/>
      </w:pPr>
      <w:r>
        <w:t>4. 污泥处理单元（12项）</w:t>
      </w:r>
    </w:p>
    <w:tbl>
      <w:tblPr>
        <w:tblW w:w="5000" w:type="pct"/>
        <w:tblInd w:w="0" w:type="dxa"/>
        <w:tblBorders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525"/>
        <w:gridCol w:w="2010"/>
        <w:gridCol w:w="915"/>
        <w:gridCol w:w="1217"/>
        <w:gridCol w:w="1904"/>
      </w:tblGrid>
      <w:tr w14:paraId="7FB1154E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08D1EB2D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序号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00B7E7CB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设备名称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303C8E10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规格型号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50549E4F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数量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6EF7E132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材质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0E0FC542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备注</w:t>
            </w:r>
          </w:p>
        </w:tc>
      </w:tr>
      <w:tr w14:paraId="460B91DE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DF66F0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89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ED027F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污泥浓缩池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3530829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Φ2.0×3.0m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D63BEC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1座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FF3960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钢砼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2DCEE7D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带刮泥机</w:t>
            </w:r>
          </w:p>
        </w:tc>
      </w:tr>
      <w:tr w14:paraId="5B87A289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9F14C0D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90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7AD6944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板框压滤机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0EBEC50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XAY20/800-UB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57C675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1台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89986CA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铸铁/PP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766D7D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过滤面积20㎡</w:t>
            </w:r>
          </w:p>
        </w:tc>
      </w:tr>
      <w:tr w14:paraId="364B7936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257875C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91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A75F630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污泥螺杆泵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DD218D9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G25-1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4D6140A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2台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77D82B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铸铁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323397C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1用1备</w:t>
            </w:r>
          </w:p>
        </w:tc>
      </w:tr>
      <w:tr w14:paraId="488B8419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A7D2AD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1447AA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EE5A6BD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B0BFC9C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E15F81D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8D2357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</w:tr>
    </w:tbl>
    <w:p w14:paraId="0DDB1F97">
      <w:pPr>
        <w:pStyle w:val="4"/>
        <w:keepNext w:val="0"/>
        <w:keepLines w:val="0"/>
        <w:widowControl/>
        <w:suppressLineNumbers w:val="0"/>
        <w:spacing w:line="13" w:lineRule="atLeast"/>
      </w:pPr>
      <w:r>
        <w:t>5. 电气与自控系统（12项）</w:t>
      </w:r>
    </w:p>
    <w:tbl>
      <w:tblPr>
        <w:tblW w:w="5000" w:type="pct"/>
        <w:tblInd w:w="0" w:type="dxa"/>
        <w:tblBorders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2"/>
        <w:gridCol w:w="1747"/>
        <w:gridCol w:w="2945"/>
        <w:gridCol w:w="912"/>
        <w:gridCol w:w="1970"/>
      </w:tblGrid>
      <w:tr w14:paraId="15B4547D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6E5F7A7B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序号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19187789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设备名称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2CACD96C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规格型号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76783C49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数量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16F69AAF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备注</w:t>
            </w:r>
          </w:p>
        </w:tc>
      </w:tr>
      <w:tr w14:paraId="6406D17E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2A292B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101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F09859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PLC控制柜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01F3DE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西门子S7-1200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440BFB6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1套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8CE4114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含触摸屏</w:t>
            </w:r>
          </w:p>
        </w:tc>
      </w:tr>
      <w:tr w14:paraId="2FBD282F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17A95A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102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C0C9640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动力配电柜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9C7C6C6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XL-21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7767F09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1套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AA3C50C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总功率约25kW</w:t>
            </w:r>
          </w:p>
        </w:tc>
      </w:tr>
      <w:tr w14:paraId="1C21C632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C02E759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103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3AE27D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在线监测仪表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10D3C79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COD、氨氮、总磷、流量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889408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1套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955B85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4参数</w:t>
            </w:r>
          </w:p>
        </w:tc>
      </w:tr>
      <w:tr w14:paraId="65400557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EB4589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FC104A9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4CC09F6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74303C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FD2EB3D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...</w:t>
            </w:r>
          </w:p>
        </w:tc>
      </w:tr>
    </w:tbl>
    <w:p w14:paraId="45F9349D">
      <w:pPr>
        <w:pStyle w:val="3"/>
        <w:keepNext w:val="0"/>
        <w:keepLines w:val="0"/>
        <w:widowControl/>
        <w:suppressLineNumbers w:val="0"/>
        <w:spacing w:line="13" w:lineRule="atLeast"/>
      </w:pPr>
      <w:r>
        <w:t>四、投资估算</w:t>
      </w:r>
    </w:p>
    <w:tbl>
      <w:tblPr>
        <w:tblW w:w="5000" w:type="pct"/>
        <w:tblInd w:w="0" w:type="dxa"/>
        <w:tblBorders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4"/>
        <w:gridCol w:w="2238"/>
        <w:gridCol w:w="3544"/>
      </w:tblGrid>
      <w:tr w14:paraId="61CA3D56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1BCFFD69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4269A193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金额（万元）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476CFE2F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备注</w:t>
            </w:r>
          </w:p>
        </w:tc>
      </w:tr>
      <w:tr w14:paraId="3781FAEC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208CFB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设备采购费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027156D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38-45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694AC1F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含112项设备及配件</w:t>
            </w:r>
          </w:p>
        </w:tc>
      </w:tr>
      <w:tr w14:paraId="25EA2443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EA4F60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土建工程费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160FD3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15-20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69FF69C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根据地质条件浮动</w:t>
            </w:r>
          </w:p>
        </w:tc>
      </w:tr>
      <w:tr w14:paraId="4A266C47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483C68A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安装调试费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6DAB13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8-10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0F93C3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含管道、电缆、安装</w:t>
            </w:r>
          </w:p>
        </w:tc>
      </w:tr>
      <w:tr w14:paraId="00267E1F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5F3F87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设计及技术服务费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78FD11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5-8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C099115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方案设计、施工图、培训</w:t>
            </w:r>
          </w:p>
        </w:tc>
      </w:tr>
      <w:tr w14:paraId="427E1D43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9650C98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b/>
                <w:bCs/>
                <w:color w:val="1E40AF"/>
                <w:sz w:val="9"/>
                <w:szCs w:val="9"/>
                <w:bdr w:val="none" w:color="auto" w:sz="0" w:space="0"/>
              </w:rPr>
              <w:t>总投资估算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51B5F90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b/>
                <w:bCs/>
                <w:color w:val="1E40AF"/>
                <w:sz w:val="9"/>
                <w:szCs w:val="9"/>
                <w:bdr w:val="none" w:color="auto" w:sz="0" w:space="0"/>
              </w:rPr>
              <w:t>66-83万元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88FA767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不含征地、外围管网</w:t>
            </w:r>
          </w:p>
        </w:tc>
      </w:tr>
    </w:tbl>
    <w:p w14:paraId="42B8B95C">
      <w:pPr>
        <w:pStyle w:val="3"/>
        <w:keepNext w:val="0"/>
        <w:keepLines w:val="0"/>
        <w:widowControl/>
        <w:suppressLineNumbers w:val="0"/>
        <w:spacing w:line="13" w:lineRule="atLeast"/>
      </w:pPr>
      <w:r>
        <w:t>五、运行成本分析</w:t>
      </w:r>
    </w:p>
    <w:tbl>
      <w:tblPr>
        <w:tblW w:w="5000" w:type="pct"/>
        <w:tblInd w:w="0" w:type="dxa"/>
        <w:tblBorders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8"/>
        <w:gridCol w:w="2717"/>
        <w:gridCol w:w="3571"/>
      </w:tblGrid>
      <w:tr w14:paraId="7A8C0D2D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7913CD39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2C07DCE7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成本（元/吨水）</w:t>
            </w:r>
          </w:p>
        </w:tc>
        <w:tc>
          <w:tcPr>
            <w:tcW w:w="0" w:type="auto"/>
            <w:tcBorders>
              <w:top w:val="single" w:color="1E40AF" w:sz="2" w:space="0"/>
              <w:left w:val="single" w:color="1E40AF" w:sz="2" w:space="0"/>
              <w:bottom w:val="single" w:color="1E40AF" w:sz="2" w:space="0"/>
              <w:right w:val="single" w:color="1E40AF" w:sz="2" w:space="0"/>
            </w:tcBorders>
            <w:shd w:val="clear"/>
            <w:tcMar>
              <w:top w:w="105" w:type="dxa"/>
              <w:left w:w="90" w:type="dxa"/>
              <w:bottom w:w="105" w:type="dxa"/>
              <w:right w:w="90" w:type="dxa"/>
            </w:tcMar>
            <w:vAlign w:val="center"/>
          </w:tcPr>
          <w:p w14:paraId="090FBD61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aps w:val="0"/>
                <w:color w:val="FFFFFF"/>
                <w:spacing w:val="0"/>
                <w:sz w:val="9"/>
                <w:szCs w:val="9"/>
                <w:bdr w:val="none" w:color="auto" w:sz="0" w:space="0"/>
              </w:rPr>
              <w:t>说明</w:t>
            </w:r>
          </w:p>
        </w:tc>
      </w:tr>
      <w:tr w14:paraId="6AB20F9C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5F00D5A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电费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CC3331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0.35-0.45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CA22E8A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日均耗电约90-110kWh</w:t>
            </w:r>
          </w:p>
        </w:tc>
      </w:tr>
      <w:tr w14:paraId="481B8984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CF6DCC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药剂费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65845A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0.15-0.25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C938ED2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PAC、PAM、消毒剂等</w:t>
            </w:r>
          </w:p>
        </w:tc>
      </w:tr>
      <w:tr w14:paraId="71C2E989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4372B74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人工费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7CD108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0.20-0.30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2FB1A9D6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1人兼职管理</w:t>
            </w:r>
          </w:p>
        </w:tc>
      </w:tr>
      <w:tr w14:paraId="4EE2138A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198C4CEE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维护费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E604611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0.10-0.15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2A1C589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备件、耗材、膜清洗等</w:t>
            </w:r>
          </w:p>
        </w:tc>
      </w:tr>
      <w:tr w14:paraId="0BDA5789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3F174FC7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b/>
                <w:bCs/>
                <w:color w:val="1E40AF"/>
                <w:sz w:val="9"/>
                <w:szCs w:val="9"/>
                <w:bdr w:val="none" w:color="auto" w:sz="0" w:space="0"/>
              </w:rPr>
              <w:t>综合运行成本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077DAC4B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b/>
                <w:bCs/>
                <w:color w:val="1E40AF"/>
                <w:sz w:val="9"/>
                <w:szCs w:val="9"/>
                <w:bdr w:val="none" w:color="auto" w:sz="0" w:space="0"/>
              </w:rPr>
              <w:t>0.80-1.15元/吨</w:t>
            </w:r>
          </w:p>
        </w:tc>
        <w:tc>
          <w:tcPr>
            <w:tcW w:w="0" w:type="auto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74BDC93">
            <w:pPr>
              <w:keepNext w:val="0"/>
              <w:keepLines w:val="0"/>
              <w:widowControl/>
              <w:suppressLineNumbers w:val="0"/>
              <w:spacing w:line="13" w:lineRule="atLeas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</w:rPr>
            </w:pPr>
            <w:r>
              <w:rPr>
                <w:rFonts w:hint="eastAsia" w:ascii="微软雅黑" w:hAnsi="微软雅黑" w:eastAsia="微软雅黑" w:cs="微软雅黑"/>
                <w:color w:val="334155"/>
                <w:sz w:val="9"/>
                <w:szCs w:val="9"/>
                <w:bdr w:val="none" w:color="auto" w:sz="0" w:space="0"/>
              </w:rPr>
              <w:t>不含折旧、污泥处置</w:t>
            </w:r>
          </w:p>
        </w:tc>
      </w:tr>
    </w:tbl>
    <w:p w14:paraId="73F1ABE1">
      <w:pPr>
        <w:pStyle w:val="3"/>
        <w:keepNext w:val="0"/>
        <w:keepLines w:val="0"/>
        <w:widowControl/>
        <w:suppressLineNumbers w:val="0"/>
        <w:spacing w:line="13" w:lineRule="atLeast"/>
      </w:pPr>
      <w:r>
        <w:t>六、安装调试与培训</w:t>
      </w:r>
    </w:p>
    <w:p w14:paraId="56AB5C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10"/>
          <w:szCs w:val="10"/>
          <w:bdr w:val="none" w:color="auto" w:sz="0" w:space="0"/>
        </w:rPr>
        <w:t>工期</w:t>
      </w: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：设备到场后30-45天安装调试完成</w:t>
      </w:r>
    </w:p>
    <w:p w14:paraId="5BD81C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10"/>
          <w:szCs w:val="10"/>
          <w:bdr w:val="none" w:color="auto" w:sz="0" w:space="0"/>
        </w:rPr>
        <w:t>培训</w:t>
      </w: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：提供3天现场操作维护培训</w:t>
      </w:r>
    </w:p>
    <w:p w14:paraId="11EDEC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10"/>
          <w:szCs w:val="10"/>
          <w:bdr w:val="none" w:color="auto" w:sz="0" w:space="0"/>
        </w:rPr>
        <w:t>质保</w:t>
      </w: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：设备质保1年，终身技术支持</w:t>
      </w:r>
    </w:p>
    <w:p w14:paraId="3B7E0C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10"/>
          <w:szCs w:val="10"/>
          <w:bdr w:val="none" w:color="auto" w:sz="0" w:space="0"/>
        </w:rPr>
        <w:t>交付文件</w:t>
      </w: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：操作手册、维护规程、竣工图纸、水质检测报告</w:t>
      </w:r>
    </w:p>
    <w:p w14:paraId="1CC5A77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  <w:bdr w:val="none" w:color="auto" w:sz="0" w:space="0"/>
        </w:rPr>
        <w:t xml:space="preserve">--- </w:t>
      </w:r>
    </w:p>
    <w:p w14:paraId="6E7430AC">
      <w:pPr>
        <w:pStyle w:val="3"/>
        <w:keepNext w:val="0"/>
        <w:keepLines w:val="0"/>
        <w:widowControl/>
        <w:suppressLineNumbers w:val="0"/>
        <w:spacing w:line="13" w:lineRule="atLeast"/>
      </w:pPr>
      <w:r>
        <w:t>后续建议</w:t>
      </w:r>
    </w:p>
    <w:p w14:paraId="655B8E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10"/>
          <w:szCs w:val="10"/>
          <w:bdr w:val="none" w:color="auto" w:sz="0" w:space="0"/>
        </w:rPr>
        <w:t>如需详细报价</w:t>
      </w: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：我可基于此配置清单生成分项报价单（Excel格式）</w:t>
      </w:r>
    </w:p>
    <w:p w14:paraId="106F5C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10"/>
          <w:szCs w:val="10"/>
          <w:bdr w:val="none" w:color="auto" w:sz="0" w:space="0"/>
        </w:rPr>
        <w:t>如需方案调整</w:t>
      </w: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：请告知具体修改要求（如：改用MBR工艺、增加回用系统等）</w:t>
      </w:r>
    </w:p>
    <w:p w14:paraId="750482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10"/>
          <w:szCs w:val="10"/>
          <w:bdr w:val="none" w:color="auto" w:sz="0" w:space="0"/>
        </w:rPr>
        <w:t>如需技术对比</w:t>
      </w: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：我可提供A²/O、MBR、SBR等工艺的详细技术经济对比</w:t>
      </w:r>
    </w:p>
    <w:p w14:paraId="0581FF80">
      <w:pPr>
        <w:keepNext w:val="0"/>
        <w:keepLines w:val="0"/>
        <w:widowControl/>
        <w:suppressLineNumbers w:val="0"/>
        <w:jc w:val="left"/>
      </w:pPr>
      <w:r>
        <w:rPr>
          <w:rStyle w:val="13"/>
          <w:rFonts w:hint="eastAsia" w:ascii="微软雅黑" w:hAnsi="微软雅黑" w:eastAsia="微软雅黑" w:cs="微软雅黑"/>
          <w:b/>
          <w:bCs/>
          <w:color w:val="1E40AF"/>
          <w:sz w:val="24"/>
          <w:szCs w:val="24"/>
          <w:bdr w:val="none" w:color="auto" w:sz="0" w:space="0"/>
        </w:rPr>
        <w:t>快速操作建议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bdr w:val="none" w:color="auto" w:sz="0" w:space="0"/>
        </w:rPr>
        <w:t xml:space="preserve">： </w:t>
      </w:r>
    </w:p>
    <w:p w14:paraId="4F2D9C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回复“生成报价单” → 我将基于此方案生成详细报价</w:t>
      </w:r>
    </w:p>
    <w:p w14:paraId="47A923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回复“修改方案” → 告诉我您的具体调整需求</w:t>
      </w:r>
    </w:p>
    <w:p w14:paraId="0E5D68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75" w:afterAutospacing="0" w:line="15" w:lineRule="atLeast"/>
        <w:ind w:left="0" w:hanging="360"/>
        <w:rPr>
          <w:color w:val="334155"/>
          <w:sz w:val="10"/>
          <w:szCs w:val="10"/>
        </w:rPr>
      </w:pPr>
      <w:r>
        <w:rPr>
          <w:rFonts w:hint="eastAsia" w:ascii="微软雅黑" w:hAnsi="微软雅黑" w:eastAsia="微软雅黑" w:cs="微软雅黑"/>
          <w:color w:val="334155"/>
          <w:sz w:val="10"/>
          <w:szCs w:val="10"/>
          <w:bdr w:val="none" w:color="auto" w:sz="0" w:space="0"/>
        </w:rPr>
        <w:t>回复“工艺对比” → 获取不同工艺的技术经济分析</w:t>
      </w:r>
    </w:p>
    <w:p w14:paraId="54A764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333333"/>
          <w:sz w:val="82"/>
          <w:szCs w:val="82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82"/>
          <w:szCs w:val="82"/>
          <w:bdr w:val="none" w:color="auto" w:sz="0" w:space="0"/>
        </w:rPr>
        <w:t>技术方案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396FB0"/>
    <w:multiLevelType w:val="multilevel"/>
    <w:tmpl w:val="CC396F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010CC6C"/>
    <w:multiLevelType w:val="multilevel"/>
    <w:tmpl w:val="E010C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28FA7C2"/>
    <w:multiLevelType w:val="multilevel"/>
    <w:tmpl w:val="428FA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FB6FA27"/>
    <w:multiLevelType w:val="multilevel"/>
    <w:tmpl w:val="4FB6F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F71C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B82F6" w:sz="8" w:space="4"/>
      </w:pBdr>
      <w:spacing w:before="375" w:beforeAutospacing="0" w:after="210" w:afterAutospacing="0"/>
      <w:jc w:val="center"/>
    </w:pPr>
    <w:rPr>
      <w:rFonts w:hint="eastAsia" w:ascii="宋体" w:hAnsi="宋体" w:eastAsia="宋体" w:cs="宋体"/>
      <w:b/>
      <w:bCs/>
      <w:color w:val="1E40AF"/>
      <w:kern w:val="44"/>
      <w:sz w:val="21"/>
      <w:szCs w:val="21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top w:val="none" w:color="auto" w:sz="0" w:space="0"/>
        <w:left w:val="single" w:color="3B82F6" w:sz="12" w:space="6"/>
        <w:bottom w:val="none" w:color="auto" w:sz="0" w:space="0"/>
        <w:right w:val="none" w:color="auto" w:sz="0" w:space="0"/>
      </w:pBdr>
      <w:spacing w:before="300" w:beforeAutospacing="0" w:after="150" w:afterAutospacing="0"/>
      <w:jc w:val="left"/>
    </w:pPr>
    <w:rPr>
      <w:rFonts w:hint="eastAsia" w:ascii="宋体" w:hAnsi="宋体" w:eastAsia="宋体" w:cs="宋体"/>
      <w:b/>
      <w:bCs/>
      <w:color w:val="1E3A8A"/>
      <w:kern w:val="0"/>
      <w:sz w:val="15"/>
      <w:szCs w:val="15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pBdr>
        <w:left w:val="single" w:color="60A5FA" w:sz="12" w:space="5"/>
      </w:pBdr>
      <w:spacing w:before="210" w:beforeAutospacing="0" w:after="120" w:afterAutospacing="0" w:line="12" w:lineRule="atLeast"/>
      <w:jc w:val="left"/>
    </w:pPr>
    <w:rPr>
      <w:rFonts w:hint="eastAsia" w:ascii="宋体" w:hAnsi="宋体" w:eastAsia="宋体" w:cs="宋体"/>
      <w:b/>
      <w:bCs/>
      <w:color w:val="334155"/>
      <w:kern w:val="0"/>
      <w:sz w:val="12"/>
      <w:szCs w:val="12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eader"/>
    <w:basedOn w:val="1"/>
    <w:uiPriority w:val="0"/>
    <w:pPr>
      <w:pBdr>
        <w:bottom w:val="single" w:color="3B82F6" w:sz="6" w:space="6"/>
      </w:pBdr>
      <w:spacing w:after="270" w:afterAutospacing="0"/>
      <w:jc w:val="left"/>
    </w:pPr>
    <w:rPr>
      <w:kern w:val="0"/>
      <w:lang w:val="en-US" w:eastAsia="zh-CN" w:bidi="ar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120" w:afterAutospacing="0" w:line="15" w:lineRule="atLeast"/>
      <w:ind w:left="0" w:right="0" w:firstLine="420"/>
      <w:jc w:val="both"/>
    </w:pPr>
    <w:rPr>
      <w:color w:val="334155"/>
      <w:kern w:val="0"/>
      <w:sz w:val="10"/>
      <w:szCs w:val="10"/>
      <w:lang w:val="en-US" w:eastAsia="zh-CN" w:bidi="ar"/>
    </w:rPr>
  </w:style>
  <w:style w:type="character" w:styleId="13">
    <w:name w:val="Strong"/>
    <w:basedOn w:val="12"/>
    <w:qFormat/>
    <w:uiPriority w:val="0"/>
    <w:rPr>
      <w:b/>
      <w:bCs/>
      <w:color w:val="1E40AF"/>
    </w:rPr>
  </w:style>
  <w:style w:type="character" w:styleId="14">
    <w:name w:val="Emphasis"/>
    <w:basedOn w:val="12"/>
    <w:qFormat/>
    <w:uiPriority w:val="0"/>
    <w:rPr>
      <w:i/>
      <w:iCs/>
      <w:color w:val="64748B"/>
    </w:rPr>
  </w:style>
  <w:style w:type="paragraph" w:customStyle="1" w:styleId="15">
    <w:name w:val="cover-logo"/>
    <w:basedOn w:val="1"/>
    <w:uiPriority w:val="0"/>
    <w:pPr>
      <w:spacing w:after="75" w:afterAutospacing="0"/>
      <w:jc w:val="left"/>
    </w:pPr>
    <w:rPr>
      <w:b/>
      <w:bCs/>
      <w:kern w:val="0"/>
      <w:sz w:val="13"/>
      <w:szCs w:val="13"/>
      <w:lang w:val="en-US" w:eastAsia="zh-CN" w:bidi="ar"/>
    </w:rPr>
  </w:style>
  <w:style w:type="paragraph" w:customStyle="1" w:styleId="16">
    <w:name w:val="conten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">
    <w:name w:val="cover-info"/>
    <w:basedOn w:val="1"/>
    <w:uiPriority w:val="0"/>
    <w:pPr>
      <w:spacing w:before="450" w:beforeAutospacing="0" w:line="17" w:lineRule="atLeast"/>
      <w:jc w:val="left"/>
    </w:pPr>
    <w:rPr>
      <w:kern w:val="0"/>
      <w:sz w:val="11"/>
      <w:szCs w:val="11"/>
      <w:lang w:val="en-US" w:eastAsia="zh-CN" w:bidi="ar"/>
    </w:rPr>
  </w:style>
  <w:style w:type="paragraph" w:customStyle="1" w:styleId="18">
    <w:name w:val="cov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  <w:rPr>
      <w:color w:val="FFFFFF"/>
      <w:kern w:val="0"/>
      <w:lang w:val="en-US" w:eastAsia="zh-CN" w:bidi="ar"/>
    </w:rPr>
  </w:style>
  <w:style w:type="paragraph" w:customStyle="1" w:styleId="19">
    <w:name w:val="cover-title"/>
    <w:basedOn w:val="1"/>
    <w:uiPriority w:val="0"/>
    <w:pPr>
      <w:spacing w:after="180" w:afterAutospacing="0"/>
      <w:jc w:val="left"/>
    </w:pPr>
    <w:rPr>
      <w:b/>
      <w:bCs/>
      <w:color w:val="FFFFFF"/>
      <w:spacing w:val="45"/>
      <w:kern w:val="0"/>
      <w:sz w:val="34"/>
      <w:szCs w:val="34"/>
      <w:lang w:val="en-US" w:eastAsia="zh-CN" w:bidi="ar"/>
    </w:rPr>
  </w:style>
  <w:style w:type="paragraph" w:customStyle="1" w:styleId="20">
    <w:name w:val="watermark"/>
    <w:basedOn w:val="1"/>
    <w:uiPriority w:val="0"/>
    <w:pPr>
      <w:jc w:val="left"/>
    </w:pPr>
    <w:rPr>
      <w:b/>
      <w:bCs/>
      <w:kern w:val="0"/>
      <w:sz w:val="82"/>
      <w:szCs w:val="82"/>
      <w:lang w:val="en-US" w:eastAsia="zh-CN" w:bidi="ar"/>
    </w:rPr>
  </w:style>
  <w:style w:type="paragraph" w:customStyle="1" w:styleId="21">
    <w:name w:val="cover-subtitle"/>
    <w:basedOn w:val="1"/>
    <w:uiPriority w:val="0"/>
    <w:pPr>
      <w:spacing w:after="675" w:afterAutospacing="0"/>
      <w:jc w:val="left"/>
    </w:pPr>
    <w:rPr>
      <w:spacing w:val="23"/>
      <w:kern w:val="0"/>
      <w:sz w:val="16"/>
      <w:szCs w:val="16"/>
      <w:lang w:val="en-US" w:eastAsia="zh-CN" w:bidi="ar"/>
    </w:rPr>
  </w:style>
  <w:style w:type="paragraph" w:customStyle="1" w:styleId="22">
    <w:name w:val="header-date"/>
    <w:basedOn w:val="1"/>
    <w:uiPriority w:val="0"/>
    <w:pPr>
      <w:jc w:val="left"/>
    </w:pPr>
    <w:rPr>
      <w:color w:val="64748B"/>
      <w:kern w:val="0"/>
      <w:sz w:val="9"/>
      <w:szCs w:val="9"/>
      <w:lang w:val="en-US" w:eastAsia="zh-CN" w:bidi="ar"/>
    </w:rPr>
  </w:style>
  <w:style w:type="paragraph" w:customStyle="1" w:styleId="23">
    <w:name w:val="header-title"/>
    <w:basedOn w:val="1"/>
    <w:uiPriority w:val="0"/>
    <w:pPr>
      <w:jc w:val="left"/>
    </w:pPr>
    <w:rPr>
      <w:b/>
      <w:bCs/>
      <w:color w:val="1E40AF"/>
      <w:kern w:val="0"/>
      <w:sz w:val="12"/>
      <w:szCs w:val="1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1366</Words>
  <Characters>1829</Characters>
  <TotalTime>0</TotalTime>
  <ScaleCrop>false</ScaleCrop>
  <LinksUpToDate>false</LinksUpToDate>
  <CharactersWithSpaces>1846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2026-03-07T16:02:26Z</dcterms:created>
  <dc:creator>兴燊环境</dc:creator>
  <cp:lastModifiedBy>兴燊环境-陈燊</cp:lastModifiedBy>
  <dcterms:modified xsi:type="dcterms:W3CDTF">2026-03-07T16:03:18Z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2A9426F3CE2648BCB7CF87F61B1BD4F1_13</vt:lpwstr>
  </property>
</Properties>
</file>