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z w:val="28"/>
        </w:rPr>
        <w:t>WEBSITE &amp; DIGITAL PLATFORM DEVELOPMENT</w:t>
      </w:r>
    </w:p>
    <w:p>
      <w:pPr>
        <w:spacing w:after="80"/>
        <w:jc w:val="center"/>
      </w:pPr>
      <w:r>
        <w:rPr>
          <w:rFonts w:ascii="Times New Roman" w:hAnsi="Times New Roman" w:eastAsia="Times New Roman"/>
          <w:b/>
          <w:i w:val="0"/>
          <w:sz w:val="28"/>
        </w:rPr>
        <w:t>AND MANAGEMENT SERVICES AGREEMENT</w:t>
      </w:r>
    </w:p>
    <w:p>
      <w:pPr>
        <w:spacing w:after="240"/>
        <w:jc w:val="center"/>
      </w:pPr>
      <w:r>
        <w:rPr>
          <w:rFonts w:ascii="Times New Roman" w:hAnsi="Times New Roman" w:eastAsia="Times New Roman"/>
          <w:b/>
          <w:i w:val="0"/>
          <w:sz w:val="22"/>
        </w:rPr>
        <w:t>(Independent Contractor Agreement — IT Professional)</w:t>
      </w:r>
    </w:p>
    <w:p>
      <w:r>
        <w:rPr>
          <w:rFonts w:ascii="Times New Roman" w:hAnsi="Times New Roman" w:eastAsia="Times New Roman"/>
          <w:b w:val="0"/>
          <w:i w:val="0"/>
          <w:sz w:val="22"/>
        </w:rPr>
        <w:t>This Website &amp; Digital Platform Development and Management Services Agreement ("Agreement") is entered into as of _____________________ ("Effective Date"), by and between:</w:t>
      </w:r>
    </w:p>
    <w:p>
      <w:r>
        <w:rPr>
          <w:rFonts w:ascii="Times New Roman" w:hAnsi="Times New Roman" w:eastAsia="Times New Roman"/>
          <w:b w:val="0"/>
          <w:i w:val="0"/>
          <w:sz w:val="22"/>
        </w:rPr>
        <w:t>Client: WellnessTech Corporation, parent company of KIAN Privé, WellnessTech Bio Distribution, WellnessTech Longevity and Research Clinics, and related affiliated clinic brands (including Facial Aesthetics / Facial Design Studio, 4EverGlow Wellness, and JOA as and when developed) ("Client"), with a principal place of business at ____________________________________.</w:t>
      </w:r>
    </w:p>
    <w:p>
      <w:r>
        <w:rPr>
          <w:rFonts w:ascii="Times New Roman" w:hAnsi="Times New Roman" w:eastAsia="Times New Roman"/>
          <w:b w:val="0"/>
          <w:i w:val="0"/>
          <w:sz w:val="22"/>
        </w:rPr>
        <w:t>Contractor: ____________________________________ ("Contractor"), an independent IT professional and/or firm with a principal place of business at ____________________________________.</w:t>
      </w:r>
    </w:p>
    <w:p>
      <w:r>
        <w:rPr>
          <w:rFonts w:ascii="Times New Roman" w:hAnsi="Times New Roman" w:eastAsia="Times New Roman"/>
          <w:b w:val="0"/>
          <w:i w:val="0"/>
          <w:sz w:val="22"/>
        </w:rPr>
        <w:t>Client and Contractor may each be referred to as a "Party" and collectively as the "Parties."</w:t>
      </w:r>
    </w:p>
    <w:p>
      <w:pPr>
        <w:spacing w:before="280" w:after="120"/>
      </w:pPr>
      <w:r>
        <w:rPr>
          <w:rFonts w:ascii="Times New Roman" w:hAnsi="Times New Roman" w:eastAsia="Times New Roman"/>
          <w:b/>
          <w:i w:val="0"/>
          <w:sz w:val="24"/>
        </w:rPr>
        <w:t>1. Engagement &amp; Scope of Services</w:t>
      </w:r>
    </w:p>
    <w:p>
      <w:r>
        <w:rPr>
          <w:rFonts w:ascii="Times New Roman" w:hAnsi="Times New Roman" w:eastAsia="Times New Roman"/>
          <w:b w:val="0"/>
          <w:i w:val="0"/>
          <w:sz w:val="22"/>
        </w:rPr>
        <w:t>1.1 Engagement. Client engages Contractor, as an independent contractor, to design, build, deploy, integrate, and/or maintain Client's websites and related digital platforms (collectively, the "Platforms"), including public marketing sites, clinical intake applications, partner-clinic sites, commerce/shop functionality, practitioner and admin portals, APIs, and related backend systems, as specified in Exhibit A and any subsequent Statements of Work ("SOWs").</w:t>
      </w:r>
    </w:p>
    <w:p>
      <w:r>
        <w:rPr>
          <w:rFonts w:ascii="Times New Roman" w:hAnsi="Times New Roman" w:eastAsia="Times New Roman"/>
          <w:b w:val="0"/>
          <w:i w:val="0"/>
          <w:sz w:val="22"/>
        </w:rPr>
        <w:t>1.2 Covered Properties. Unless otherwise limited in writing, Platforms may include properties for Client and/or its subsidiaries and affiliated brands, including without limitation:</w:t>
      </w:r>
    </w:p>
    <w:p>
      <w:pPr>
        <w:pStyle w:val="ListBullet"/>
        <w:ind w:left="360"/>
      </w:pPr>
      <w:r>
        <w:rPr>
          <w:rFonts w:ascii="Times New Roman" w:hAnsi="Times New Roman" w:eastAsia="Times New Roman"/>
          <w:b w:val="0"/>
          <w:i w:val="0"/>
          <w:sz w:val="22"/>
        </w:rPr>
        <w:t>KIAN Privé (primary brand website, shop, bookings, member/provider portals)</w:t>
      </w:r>
    </w:p>
    <w:p>
      <w:pPr>
        <w:pStyle w:val="ListBullet"/>
        <w:ind w:left="360"/>
      </w:pPr>
      <w:r>
        <w:rPr>
          <w:rFonts w:ascii="Times New Roman" w:hAnsi="Times New Roman" w:eastAsia="Times New Roman"/>
          <w:b w:val="0"/>
          <w:i w:val="0"/>
          <w:sz w:val="22"/>
        </w:rPr>
        <w:t>KIAN Privé Wellness Hub / Privé Therapeutics (clinical intake and provider-connect experience)</w:t>
      </w:r>
    </w:p>
    <w:p>
      <w:pPr>
        <w:pStyle w:val="ListBullet"/>
        <w:ind w:left="360"/>
      </w:pPr>
      <w:r>
        <w:rPr>
          <w:rFonts w:ascii="Times New Roman" w:hAnsi="Times New Roman" w:eastAsia="Times New Roman"/>
          <w:b w:val="0"/>
          <w:i w:val="0"/>
          <w:sz w:val="22"/>
        </w:rPr>
        <w:t>WellnessTech Bio Distribution (distribution / wholesale digital properties)</w:t>
      </w:r>
    </w:p>
    <w:p>
      <w:pPr>
        <w:pStyle w:val="ListBullet"/>
        <w:ind w:left="360"/>
      </w:pPr>
      <w:r>
        <w:rPr>
          <w:rFonts w:ascii="Times New Roman" w:hAnsi="Times New Roman" w:eastAsia="Times New Roman"/>
          <w:b w:val="0"/>
          <w:i w:val="0"/>
          <w:sz w:val="22"/>
        </w:rPr>
        <w:t>Facial Aesthetics / Facial Design Studio</w:t>
      </w:r>
    </w:p>
    <w:p>
      <w:pPr>
        <w:pStyle w:val="ListBullet"/>
        <w:ind w:left="360"/>
      </w:pPr>
      <w:r>
        <w:rPr>
          <w:rFonts w:ascii="Times New Roman" w:hAnsi="Times New Roman" w:eastAsia="Times New Roman"/>
          <w:b w:val="0"/>
          <w:i w:val="0"/>
          <w:sz w:val="22"/>
        </w:rPr>
        <w:t>4EverGlow Wellness</w:t>
      </w:r>
    </w:p>
    <w:p>
      <w:pPr>
        <w:pStyle w:val="ListBullet"/>
        <w:ind w:left="360"/>
      </w:pPr>
      <w:r>
        <w:rPr>
          <w:rFonts w:ascii="Times New Roman" w:hAnsi="Times New Roman" w:eastAsia="Times New Roman"/>
          <w:b w:val="0"/>
          <w:i w:val="0"/>
          <w:sz w:val="22"/>
        </w:rPr>
        <w:t>JOA (as and when developed)</w:t>
      </w:r>
    </w:p>
    <w:p>
      <w:pPr>
        <w:pStyle w:val="ListBullet"/>
        <w:ind w:left="360"/>
      </w:pPr>
      <w:r>
        <w:rPr>
          <w:rFonts w:ascii="Times New Roman" w:hAnsi="Times New Roman" w:eastAsia="Times New Roman"/>
          <w:b w:val="0"/>
          <w:i w:val="0"/>
          <w:sz w:val="22"/>
        </w:rPr>
        <w:t>Such other Client or affiliate digital properties listed in Exhibit A or an SOW</w:t>
      </w:r>
    </w:p>
    <w:p>
      <w:r>
        <w:rPr>
          <w:rFonts w:ascii="Times New Roman" w:hAnsi="Times New Roman" w:eastAsia="Times New Roman"/>
          <w:b w:val="0"/>
          <w:i w:val="0"/>
          <w:sz w:val="22"/>
        </w:rPr>
        <w:t>1.3 Services. Services under this Agreement ("Services") include, without limitation:</w:t>
      </w:r>
    </w:p>
    <w:p>
      <w:pPr>
        <w:pStyle w:val="ListBullet"/>
        <w:ind w:left="360"/>
      </w:pPr>
      <w:r>
        <w:rPr>
          <w:rFonts w:ascii="Times New Roman" w:hAnsi="Times New Roman" w:eastAsia="Times New Roman"/>
          <w:b w:val="0"/>
          <w:i w:val="0"/>
          <w:sz w:val="22"/>
        </w:rPr>
        <w:t>Design, development, and deployment of front-end and back-end functionality for the Platforms</w:t>
      </w:r>
    </w:p>
    <w:p>
      <w:pPr>
        <w:pStyle w:val="ListBullet"/>
        <w:ind w:left="360"/>
      </w:pPr>
      <w:r>
        <w:rPr>
          <w:rFonts w:ascii="Times New Roman" w:hAnsi="Times New Roman" w:eastAsia="Times New Roman"/>
          <w:b w:val="0"/>
          <w:i w:val="0"/>
          <w:sz w:val="22"/>
        </w:rPr>
        <w:t>Custom application development (including Next.js, TanStack Start / similar modern web frameworks, APIs, and database layers)</w:t>
      </w:r>
    </w:p>
    <w:p>
      <w:pPr>
        <w:pStyle w:val="ListBullet"/>
        <w:ind w:left="360"/>
      </w:pPr>
      <w:r>
        <w:rPr>
          <w:rFonts w:ascii="Times New Roman" w:hAnsi="Times New Roman" w:eastAsia="Times New Roman"/>
          <w:b w:val="0"/>
          <w:i w:val="0"/>
          <w:sz w:val="22"/>
        </w:rPr>
        <w:t>Configuration and integration of third-party tools (booking/scheduling, payment processing including Authorize.net or successor processors, email/transactional messaging, CRM, analytics)</w:t>
      </w:r>
    </w:p>
    <w:p>
      <w:pPr>
        <w:pStyle w:val="ListBullet"/>
        <w:ind w:left="360"/>
      </w:pPr>
      <w:r>
        <w:rPr>
          <w:rFonts w:ascii="Times New Roman" w:hAnsi="Times New Roman" w:eastAsia="Times New Roman"/>
          <w:b w:val="0"/>
          <w:i w:val="0"/>
          <w:sz w:val="22"/>
        </w:rPr>
        <w:t>Clinical and wellness intake forms, signature capture, review-deposit / fee collection flows, and forwarding of submissions into Client's central charting / EHR workflow (including Wellness Tech EHR routing as directed by Client)</w:t>
      </w:r>
    </w:p>
    <w:p>
      <w:pPr>
        <w:pStyle w:val="ListBullet"/>
        <w:ind w:left="360"/>
      </w:pPr>
      <w:r>
        <w:rPr>
          <w:rFonts w:ascii="Times New Roman" w:hAnsi="Times New Roman" w:eastAsia="Times New Roman"/>
          <w:b w:val="0"/>
          <w:i w:val="0"/>
          <w:sz w:val="22"/>
        </w:rPr>
        <w:t>Partner-site intake submission APIs and cross-site data handoff to Client systems</w:t>
      </w:r>
    </w:p>
    <w:p>
      <w:pPr>
        <w:pStyle w:val="ListBullet"/>
        <w:ind w:left="360"/>
      </w:pPr>
      <w:r>
        <w:rPr>
          <w:rFonts w:ascii="Times New Roman" w:hAnsi="Times New Roman" w:eastAsia="Times New Roman"/>
          <w:b w:val="0"/>
          <w:i w:val="0"/>
          <w:sz w:val="22"/>
        </w:rPr>
        <w:t>Practitioner, ambassador, partner, and admin portal features as scoped</w:t>
      </w:r>
    </w:p>
    <w:p>
      <w:pPr>
        <w:pStyle w:val="ListBullet"/>
        <w:ind w:left="360"/>
      </w:pPr>
      <w:r>
        <w:rPr>
          <w:rFonts w:ascii="Times New Roman" w:hAnsi="Times New Roman" w:eastAsia="Times New Roman"/>
          <w:b w:val="0"/>
          <w:i w:val="0"/>
          <w:sz w:val="22"/>
        </w:rPr>
        <w:t>Ongoing maintenance, including dependency/CMS/plugin updates where applicable, security patches, backups, and environment configuration</w:t>
      </w:r>
    </w:p>
    <w:p>
      <w:pPr>
        <w:pStyle w:val="ListBullet"/>
        <w:ind w:left="360"/>
      </w:pPr>
      <w:r>
        <w:rPr>
          <w:rFonts w:ascii="Times New Roman" w:hAnsi="Times New Roman" w:eastAsia="Times New Roman"/>
          <w:b w:val="0"/>
          <w:i w:val="0"/>
          <w:sz w:val="22"/>
        </w:rPr>
        <w:t>Performance monitoring, uptime management, and troubleshooting of technical issues</w:t>
      </w:r>
    </w:p>
    <w:p>
      <w:pPr>
        <w:pStyle w:val="ListBullet"/>
        <w:ind w:left="360"/>
      </w:pPr>
      <w:r>
        <w:rPr>
          <w:rFonts w:ascii="Times New Roman" w:hAnsi="Times New Roman" w:eastAsia="Times New Roman"/>
          <w:b w:val="0"/>
          <w:i w:val="0"/>
          <w:sz w:val="22"/>
        </w:rPr>
        <w:t>Implementation of content, feature, and design changes requested by Client</w:t>
      </w:r>
    </w:p>
    <w:p>
      <w:pPr>
        <w:pStyle w:val="ListBullet"/>
        <w:ind w:left="360"/>
      </w:pPr>
      <w:r>
        <w:rPr>
          <w:rFonts w:ascii="Times New Roman" w:hAnsi="Times New Roman" w:eastAsia="Times New Roman"/>
          <w:b w:val="0"/>
          <w:i w:val="0"/>
          <w:sz w:val="22"/>
        </w:rPr>
        <w:t>Domain, hosting, SSL, DNS, and repository access management (as applicable and authorized)</w:t>
      </w:r>
    </w:p>
    <w:p>
      <w:pPr>
        <w:pStyle w:val="ListBullet"/>
        <w:ind w:left="360"/>
      </w:pPr>
      <w:r>
        <w:rPr>
          <w:rFonts w:ascii="Times New Roman" w:hAnsi="Times New Roman" w:eastAsia="Times New Roman"/>
          <w:b w:val="0"/>
          <w:i w:val="0"/>
          <w:sz w:val="22"/>
        </w:rPr>
        <w:t>Basic SEO and technical compliance upkeep (accessibility, page speed)</w:t>
      </w:r>
    </w:p>
    <w:p>
      <w:pPr>
        <w:pStyle w:val="ListBullet"/>
        <w:ind w:left="360"/>
      </w:pPr>
      <w:r>
        <w:rPr>
          <w:rFonts w:ascii="Times New Roman" w:hAnsi="Times New Roman" w:eastAsia="Times New Roman"/>
          <w:b w:val="0"/>
          <w:i w:val="0"/>
          <w:sz w:val="22"/>
        </w:rPr>
        <w:t>Such other services as the Parties agree in a written SOW or signed change order</w:t>
      </w:r>
    </w:p>
    <w:p>
      <w:r>
        <w:rPr>
          <w:rFonts w:ascii="Times New Roman" w:hAnsi="Times New Roman" w:eastAsia="Times New Roman"/>
          <w:b w:val="0"/>
          <w:i w:val="0"/>
          <w:sz w:val="22"/>
        </w:rPr>
        <w:t>1.4 Statement of Work. A detailed description of the initial project scope, deliverables, specifications, repositories, environments, and timeline is set out in Exhibit A (Statement of Work), attached hereto and incorporated by reference. Any material change to scope, timeline, or fees must be documented in a written change order signed by both Parties before the changed work begins.</w:t>
      </w:r>
    </w:p>
    <w:p>
      <w:r>
        <w:rPr>
          <w:rFonts w:ascii="Times New Roman" w:hAnsi="Times New Roman" w:eastAsia="Times New Roman"/>
          <w:b w:val="0"/>
          <w:i w:val="0"/>
          <w:sz w:val="22"/>
        </w:rPr>
        <w:t>1.5 Clinical / Business Decisions Out of Scope. Contractor provides technology Services only. Contractor does not practice medicine, prescribe medications, make clinical determinations, approve therapies, or provide legal, compliance, or medical advice. Client remains solely responsible for clinical content accuracy, prescribing authority, medical director oversight, pharmacy fulfillment decisions, and regulatory compliance of Client's operations.</w:t>
      </w:r>
    </w:p>
    <w:p>
      <w:pPr>
        <w:spacing w:before="280" w:after="120"/>
      </w:pPr>
      <w:r>
        <w:rPr>
          <w:rFonts w:ascii="Times New Roman" w:hAnsi="Times New Roman" w:eastAsia="Times New Roman"/>
          <w:b/>
          <w:i w:val="0"/>
          <w:sz w:val="24"/>
        </w:rPr>
        <w:t>2. Term</w:t>
      </w:r>
    </w:p>
    <w:p>
      <w:r>
        <w:rPr>
          <w:rFonts w:ascii="Times New Roman" w:hAnsi="Times New Roman" w:eastAsia="Times New Roman"/>
          <w:b w:val="0"/>
          <w:i w:val="0"/>
          <w:sz w:val="22"/>
        </w:rPr>
        <w:t>This Agreement begins on the Effective Date and continues for an initial term of ____________ months ("Initial Term"), and will automatically renew for successive ____________-month periods unless either Party provides written notice of non-renewal at least ____________ days before the end of the then-current term, unless earlier terminated as provided in Section 9.</w:t>
      </w:r>
    </w:p>
    <w:p>
      <w:pPr>
        <w:spacing w:before="280" w:after="120"/>
      </w:pPr>
      <w:r>
        <w:rPr>
          <w:rFonts w:ascii="Times New Roman" w:hAnsi="Times New Roman" w:eastAsia="Times New Roman"/>
          <w:b/>
          <w:i w:val="0"/>
          <w:sz w:val="24"/>
        </w:rPr>
        <w:t>3. Fees &amp; Payment</w:t>
      </w:r>
    </w:p>
    <w:p>
      <w:r>
        <w:rPr>
          <w:rFonts w:ascii="Times New Roman" w:hAnsi="Times New Roman" w:eastAsia="Times New Roman"/>
          <w:b w:val="0"/>
          <w:i w:val="0"/>
          <w:sz w:val="22"/>
        </w:rPr>
        <w:t>3.1 Fees. In consideration for the Services, Client shall pay Contractor as follows: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20"/>
              </w:rPr>
              <w:t>Service / Milestone</w:t>
            </w:r>
          </w:p>
        </w:tc>
        <w:tc>
          <w:tcPr>
            <w:tcW w:type="dxa" w:w="3120"/>
          </w:tcPr>
          <w:p>
            <w:r>
              <w:rPr>
                <w:rFonts w:ascii="Times New Roman" w:hAnsi="Times New Roman" w:eastAsia="Times New Roman"/>
                <w:b/>
                <w:i w:val="0"/>
                <w:sz w:val="20"/>
              </w:rPr>
              <w:t>Fee / Rate</w:t>
            </w:r>
          </w:p>
        </w:tc>
        <w:tc>
          <w:tcPr>
            <w:tcW w:type="dxa" w:w="3120"/>
          </w:tcPr>
          <w:p>
            <w:r>
              <w:rPr>
                <w:rFonts w:ascii="Times New Roman" w:hAnsi="Times New Roman" w:eastAsia="Times New Roman"/>
                <w:b/>
                <w:i w:val="0"/>
                <w:sz w:val="20"/>
              </w:rPr>
              <w:t>Due</w:t>
            </w:r>
          </w:p>
        </w:tc>
      </w:tr>
      <w:tr>
        <w:tc>
          <w:tcPr>
            <w:tcW w:type="dxa" w:w="3120"/>
          </w:tcPr>
          <w:p>
            <w:r>
              <w:rPr>
                <w:rFonts w:ascii="Times New Roman" w:hAnsi="Times New Roman" w:eastAsia="Times New Roman"/>
                <w:b w:val="0"/>
                <w:i w:val="0"/>
                <w:sz w:val="20"/>
              </w:rPr>
              <w:t>Initial build / setup (Exhibit A)</w:t>
            </w:r>
          </w:p>
        </w:tc>
        <w:tc>
          <w:tcPr>
            <w:tcW w:type="dxa" w:w="3120"/>
          </w:tcPr>
          <w:p>
            <w:r>
              <w:rPr>
                <w:rFonts w:ascii="Times New Roman" w:hAnsi="Times New Roman" w:eastAsia="Times New Roman"/>
                <w:b w:val="0"/>
                <w:i w:val="0"/>
                <w:sz w:val="20"/>
              </w:rPr>
              <w:t>$____________</w:t>
            </w:r>
          </w:p>
        </w:tc>
        <w:tc>
          <w:tcPr>
            <w:tcW w:type="dxa" w:w="3120"/>
          </w:tcPr>
          <w:p>
            <w:r>
              <w:rPr>
                <w:rFonts w:ascii="Times New Roman" w:hAnsi="Times New Roman" w:eastAsia="Times New Roman"/>
                <w:b w:val="0"/>
                <w:i w:val="0"/>
                <w:sz w:val="20"/>
              </w:rPr>
              <w:t>Upon signing / milestone schedule</w:t>
            </w:r>
          </w:p>
        </w:tc>
      </w:tr>
      <w:tr>
        <w:tc>
          <w:tcPr>
            <w:tcW w:type="dxa" w:w="3120"/>
          </w:tcPr>
          <w:p>
            <w:r>
              <w:rPr>
                <w:rFonts w:ascii="Times New Roman" w:hAnsi="Times New Roman" w:eastAsia="Times New Roman"/>
                <w:b w:val="0"/>
                <w:i w:val="0"/>
                <w:sz w:val="20"/>
              </w:rPr>
              <w:t>Ongoing maintenance &amp; support</w:t>
            </w:r>
          </w:p>
        </w:tc>
        <w:tc>
          <w:tcPr>
            <w:tcW w:type="dxa" w:w="3120"/>
          </w:tcPr>
          <w:p>
            <w:r>
              <w:rPr>
                <w:rFonts w:ascii="Times New Roman" w:hAnsi="Times New Roman" w:eastAsia="Times New Roman"/>
                <w:b w:val="0"/>
                <w:i w:val="0"/>
                <w:sz w:val="20"/>
              </w:rPr>
              <w:t>$____________ / month</w:t>
            </w:r>
          </w:p>
        </w:tc>
        <w:tc>
          <w:tcPr>
            <w:tcW w:type="dxa" w:w="3120"/>
          </w:tcPr>
          <w:p>
            <w:r>
              <w:rPr>
                <w:rFonts w:ascii="Times New Roman" w:hAnsi="Times New Roman" w:eastAsia="Times New Roman"/>
                <w:b w:val="0"/>
                <w:i w:val="0"/>
                <w:sz w:val="20"/>
              </w:rPr>
              <w:t>Monthly, in advance</w:t>
            </w:r>
          </w:p>
        </w:tc>
      </w:tr>
      <w:tr>
        <w:tc>
          <w:tcPr>
            <w:tcW w:type="dxa" w:w="3120"/>
          </w:tcPr>
          <w:p>
            <w:r>
              <w:rPr>
                <w:rFonts w:ascii="Times New Roman" w:hAnsi="Times New Roman" w:eastAsia="Times New Roman"/>
                <w:b w:val="0"/>
                <w:i w:val="0"/>
                <w:sz w:val="20"/>
              </w:rPr>
              <w:t>Hourly rate (out-of-scope work)</w:t>
            </w:r>
          </w:p>
        </w:tc>
        <w:tc>
          <w:tcPr>
            <w:tcW w:type="dxa" w:w="3120"/>
          </w:tcPr>
          <w:p>
            <w:r>
              <w:rPr>
                <w:rFonts w:ascii="Times New Roman" w:hAnsi="Times New Roman" w:eastAsia="Times New Roman"/>
                <w:b w:val="0"/>
                <w:i w:val="0"/>
                <w:sz w:val="20"/>
              </w:rPr>
              <w:t>$____________ / hour</w:t>
            </w:r>
          </w:p>
        </w:tc>
        <w:tc>
          <w:tcPr>
            <w:tcW w:type="dxa" w:w="3120"/>
          </w:tcPr>
          <w:p>
            <w:r>
              <w:rPr>
                <w:rFonts w:ascii="Times New Roman" w:hAnsi="Times New Roman" w:eastAsia="Times New Roman"/>
                <w:b w:val="0"/>
                <w:i w:val="0"/>
                <w:sz w:val="20"/>
              </w:rPr>
              <w:t>Upon invoice</w:t>
            </w:r>
          </w:p>
        </w:tc>
      </w:tr>
      <w:tr>
        <w:tc>
          <w:tcPr>
            <w:tcW w:type="dxa" w:w="3120"/>
          </w:tcPr>
          <w:p>
            <w:r>
              <w:rPr>
                <w:rFonts w:ascii="Times New Roman" w:hAnsi="Times New Roman" w:eastAsia="Times New Roman"/>
                <w:b w:val="0"/>
                <w:i w:val="0"/>
                <w:sz w:val="20"/>
              </w:rPr>
              <w:t>Hosting / third-party fees (if pass-through)</w:t>
            </w:r>
          </w:p>
        </w:tc>
        <w:tc>
          <w:tcPr>
            <w:tcW w:type="dxa" w:w="3120"/>
          </w:tcPr>
          <w:p>
            <w:r>
              <w:rPr>
                <w:rFonts w:ascii="Times New Roman" w:hAnsi="Times New Roman" w:eastAsia="Times New Roman"/>
                <w:b w:val="0"/>
                <w:i w:val="0"/>
                <w:sz w:val="20"/>
              </w:rPr>
              <w:t>At cost + ____%</w:t>
            </w:r>
          </w:p>
        </w:tc>
        <w:tc>
          <w:tcPr>
            <w:tcW w:type="dxa" w:w="3120"/>
          </w:tcPr>
          <w:p>
            <w:r>
              <w:rPr>
                <w:rFonts w:ascii="Times New Roman" w:hAnsi="Times New Roman" w:eastAsia="Times New Roman"/>
                <w:b w:val="0"/>
                <w:i w:val="0"/>
                <w:sz w:val="20"/>
              </w:rPr>
              <w:t>Upon invoice</w:t>
            </w:r>
          </w:p>
        </w:tc>
      </w:tr>
    </w:tbl>
    <w:p>
      <w:pPr>
        <w:spacing w:after="80"/>
      </w:pPr>
    </w:p>
    <w:p>
      <w:r>
        <w:rPr>
          <w:rFonts w:ascii="Times New Roman" w:hAnsi="Times New Roman" w:eastAsia="Times New Roman"/>
          <w:b w:val="0"/>
          <w:i w:val="0"/>
          <w:sz w:val="22"/>
        </w:rPr>
        <w:t>3.2 Invoices &amp; Late Payment. Invoices are due within ____________ days of receipt. Late payments accrue interest at ____% per month (or the maximum permitted by law, if lower). Contractor may suspend Services for accounts more than ____________ days past due, upon written notice.</w:t>
      </w:r>
    </w:p>
    <w:p>
      <w:r>
        <w:rPr>
          <w:rFonts w:ascii="Times New Roman" w:hAnsi="Times New Roman" w:eastAsia="Times New Roman"/>
          <w:b w:val="0"/>
          <w:i w:val="0"/>
          <w:sz w:val="22"/>
        </w:rPr>
        <w:t>3.3 Third-Party Costs. Client is responsible for all third-party costs incurred on Client's behalf (domain registration, hosting, cloud databases, licenses, plugins, stock media, payment processor fees, email provider fees, SMS, analytics, etc.), which shall be itemized and pre-approved by Client except in cases of emergency remediation reasonably necessary to protect availability, security, or data integrity.</w:t>
      </w:r>
    </w:p>
    <w:p>
      <w:pPr>
        <w:spacing w:before="280" w:after="120"/>
      </w:pPr>
      <w:r>
        <w:rPr>
          <w:rFonts w:ascii="Times New Roman" w:hAnsi="Times New Roman" w:eastAsia="Times New Roman"/>
          <w:b/>
          <w:i w:val="0"/>
          <w:sz w:val="24"/>
        </w:rPr>
        <w:t>4. Ownership &amp; Intellectual Property</w:t>
      </w:r>
    </w:p>
    <w:p>
      <w:r>
        <w:rPr>
          <w:rFonts w:ascii="Times New Roman" w:hAnsi="Times New Roman" w:eastAsia="Times New Roman"/>
          <w:b w:val="0"/>
          <w:i w:val="0"/>
          <w:sz w:val="22"/>
        </w:rPr>
        <w:t>4.1 Work Product. Upon full payment of all applicable fees for the relevant deliverable, Contractor assigns to Client all right, title, and interest in the custom code, design files, configuration, content, and documentation created specifically for the Platforms under this Agreement ("Work Product"), excluding Contractor's Pre-Existing IP and any Third-Party Materials.</w:t>
      </w:r>
    </w:p>
    <w:p>
      <w:r>
        <w:rPr>
          <w:rFonts w:ascii="Times New Roman" w:hAnsi="Times New Roman" w:eastAsia="Times New Roman"/>
          <w:b w:val="0"/>
          <w:i w:val="0"/>
          <w:sz w:val="22"/>
        </w:rPr>
        <w:t>4.2 Pre-Existing IP. "Pre-Existing IP" means tools, libraries, frameworks, snippets, templates, or methodologies owned by Contractor prior to, or developed independently of, this engagement. Contractor grants Client a perpetual, non-exclusive, royalty-free license to use such Pre-Existing IP solely as incorporated into the Platforms.</w:t>
      </w:r>
    </w:p>
    <w:p>
      <w:r>
        <w:rPr>
          <w:rFonts w:ascii="Times New Roman" w:hAnsi="Times New Roman" w:eastAsia="Times New Roman"/>
          <w:b w:val="0"/>
          <w:i w:val="0"/>
          <w:sz w:val="22"/>
        </w:rPr>
        <w:t>4.3 Third-Party Materials. "Third-Party Materials" means software, plugins, themes, stock assets, SDKs, or platforms licensed from third parties (including payment processors, email providers, hosting platforms, and open-source components). Client's rights to these are governed by the applicable third-party license terms. Contractor will identify material Third-Party Materials upon request.</w:t>
      </w:r>
    </w:p>
    <w:p>
      <w:r>
        <w:rPr>
          <w:rFonts w:ascii="Times New Roman" w:hAnsi="Times New Roman" w:eastAsia="Times New Roman"/>
          <w:b w:val="0"/>
          <w:i w:val="0"/>
          <w:sz w:val="22"/>
        </w:rPr>
        <w:t>4.4 Source Control &amp; Credentials. Work Product includes application source code in version-control repositories (e.g., GitHub), deployment configurations, and documentation reasonably necessary to operate the Platforms. Credentials, API keys, and production secrets remain Client Property; Contractor may hold temporary operational access only as needed to perform Services and shall return or revoke such access on request or termination.</w:t>
      </w:r>
    </w:p>
    <w:p>
      <w:r>
        <w:rPr>
          <w:rFonts w:ascii="Times New Roman" w:hAnsi="Times New Roman" w:eastAsia="Times New Roman"/>
          <w:b w:val="0"/>
          <w:i w:val="0"/>
          <w:sz w:val="22"/>
        </w:rPr>
        <w:t>4.5 Portfolio. Contractor retains the right to reference the Platforms in its professional portfolio unless Client requests otherwise in writing, subject to Section 5 (Confidentiality) and without disclosing patient/client PHI or Confidential Information.</w:t>
      </w:r>
    </w:p>
    <w:p>
      <w:pPr>
        <w:spacing w:before="280" w:after="120"/>
      </w:pPr>
      <w:r>
        <w:rPr>
          <w:rFonts w:ascii="Times New Roman" w:hAnsi="Times New Roman" w:eastAsia="Times New Roman"/>
          <w:b/>
          <w:i w:val="0"/>
          <w:sz w:val="24"/>
        </w:rPr>
        <w:t>5. Confidentiality</w:t>
      </w:r>
    </w:p>
    <w:p>
      <w:r>
        <w:rPr>
          <w:rFonts w:ascii="Times New Roman" w:hAnsi="Times New Roman" w:eastAsia="Times New Roman"/>
          <w:b w:val="0"/>
          <w:i w:val="0"/>
          <w:sz w:val="22"/>
        </w:rPr>
        <w:t>Each Party may have access to non-public business, technical, financial, patient/client, or proprietary information of the other Party ("Confidential Information"). Each Party agrees to: (a) use the other's Confidential Information solely to perform its obligations under this Agreement; (b) protect it with at least the same degree of care it uses for its own confidential information, and no less than reasonable care; and (c) not disclose it to third parties without prior written consent, except to employees, contractors, or advisors bound by similar confidentiality obligations, or as required by law. This obligation survives termination of this Agreement for a period of ____________ years (or indefinitely with respect to trade secrets and Protected Health Information).</w:t>
      </w:r>
    </w:p>
    <w:p>
      <w:pPr>
        <w:spacing w:before="280" w:after="120"/>
      </w:pPr>
      <w:r>
        <w:rPr>
          <w:rFonts w:ascii="Times New Roman" w:hAnsi="Times New Roman" w:eastAsia="Times New Roman"/>
          <w:b/>
          <w:i w:val="0"/>
          <w:sz w:val="24"/>
        </w:rPr>
        <w:t>6. Data Privacy, Security &amp; HIPAA</w:t>
      </w:r>
    </w:p>
    <w:p>
      <w:r>
        <w:rPr>
          <w:rFonts w:ascii="Times New Roman" w:hAnsi="Times New Roman" w:eastAsia="Times New Roman"/>
          <w:b w:val="0"/>
          <w:i w:val="0"/>
          <w:sz w:val="22"/>
        </w:rPr>
        <w:t>6.1 Safeguards. Contractor shall implement and maintain reasonable administrative, technical, and physical safeguards to protect the Platforms and any data collected or processed through them, consistent with industry standards for similar healthcare-adjacent and e-commerce systems.</w:t>
      </w:r>
    </w:p>
    <w:p>
      <w:r>
        <w:rPr>
          <w:rFonts w:ascii="Times New Roman" w:hAnsi="Times New Roman" w:eastAsia="Times New Roman"/>
          <w:b w:val="0"/>
          <w:i w:val="0"/>
          <w:sz w:val="22"/>
        </w:rPr>
        <w:t>6.2 Personal &amp; Health Data. The Platforms collect, store, or process personal information and may collect health-related or wellness intake data, signatures, payment-related metadata, and clinical-review workflow data. Contractor shall comply with applicable data protection laws and cooperate with Client's privacy and security policies.</w:t>
      </w:r>
    </w:p>
    <w:p>
      <w:r>
        <w:rPr>
          <w:rFonts w:ascii="Times New Roman" w:hAnsi="Times New Roman" w:eastAsia="Times New Roman"/>
          <w:b w:val="0"/>
          <w:i w:val="0"/>
          <w:sz w:val="22"/>
        </w:rPr>
        <w:t>6.3 HIPAA / BAA. Because Contractor may create, receive, maintain, or transmit Protected Health Information ("PHI") on Client's behalf in connection with intakes, charts, portals, or related systems, the Parties shall execute a separate Business Associate Agreement ("BAA") prior to such access (or promptly after the Effective Date if such access has already begun). The BAA shall control in the event of conflict with this Agreement regarding PHI.</w:t>
      </w:r>
    </w:p>
    <w:p>
      <w:r>
        <w:rPr>
          <w:rFonts w:ascii="Times New Roman" w:hAnsi="Times New Roman" w:eastAsia="Times New Roman"/>
          <w:b w:val="0"/>
          <w:i w:val="0"/>
          <w:sz w:val="22"/>
        </w:rPr>
        <w:t>6.4 Security Incidents. Contractor shall promptly notify Client of any known or suspected security incident, unauthorized access, or data breach affecting the Platforms or Client data, and reasonably assist with remediation and any required notifications.</w:t>
      </w:r>
    </w:p>
    <w:p>
      <w:r>
        <w:rPr>
          <w:rFonts w:ascii="Times New Roman" w:hAnsi="Times New Roman" w:eastAsia="Times New Roman"/>
          <w:b w:val="0"/>
          <w:i w:val="0"/>
          <w:sz w:val="22"/>
        </w:rPr>
        <w:t>6.5 Data Ownership. Client owns all Client Data, including patient/client intake submissions, charts, orders, and operational records stored in Client systems. Contractor may process Client Data solely to perform Services.</w:t>
      </w:r>
    </w:p>
    <w:p>
      <w:pPr>
        <w:spacing w:before="280" w:after="120"/>
      </w:pPr>
      <w:r>
        <w:rPr>
          <w:rFonts w:ascii="Times New Roman" w:hAnsi="Times New Roman" w:eastAsia="Times New Roman"/>
          <w:b/>
          <w:i w:val="0"/>
          <w:sz w:val="24"/>
        </w:rPr>
        <w:t>7. Independent Contractor Relationship</w:t>
      </w:r>
    </w:p>
    <w:p>
      <w:r>
        <w:rPr>
          <w:rFonts w:ascii="Times New Roman" w:hAnsi="Times New Roman" w:eastAsia="Times New Roman"/>
          <w:b w:val="0"/>
          <w:i w:val="0"/>
          <w:sz w:val="22"/>
        </w:rPr>
        <w:t>Contractor is an independent contractor, not an employee, partner, or agent of Client. Contractor is solely responsible for its own taxes, insurance, benefits, and compliance with applicable employment and tax laws. Nothing in this Agreement creates a joint venture, partnership, or employment relationship. Contractor has no authority to bind Client to any obligation.</w:t>
      </w:r>
    </w:p>
    <w:p>
      <w:pPr>
        <w:spacing w:before="280" w:after="120"/>
      </w:pPr>
      <w:r>
        <w:rPr>
          <w:rFonts w:ascii="Times New Roman" w:hAnsi="Times New Roman" w:eastAsia="Times New Roman"/>
          <w:b/>
          <w:i w:val="0"/>
          <w:sz w:val="24"/>
        </w:rPr>
        <w:t>8. Warranties</w:t>
      </w:r>
    </w:p>
    <w:p>
      <w:pPr>
        <w:pStyle w:val="ListBullet"/>
        <w:ind w:left="360"/>
      </w:pPr>
      <w:r>
        <w:rPr>
          <w:rFonts w:ascii="Times New Roman" w:hAnsi="Times New Roman" w:eastAsia="Times New Roman"/>
          <w:b w:val="0"/>
          <w:i w:val="0"/>
          <w:sz w:val="22"/>
        </w:rPr>
        <w:t>Contractor warrants that the Services will be performed in a professional and workmanlike manner consistent with generally accepted industry standards for comparable custom web and application development.</w:t>
      </w:r>
    </w:p>
    <w:p>
      <w:pPr>
        <w:pStyle w:val="ListBullet"/>
        <w:ind w:left="360"/>
      </w:pPr>
      <w:r>
        <w:rPr>
          <w:rFonts w:ascii="Times New Roman" w:hAnsi="Times New Roman" w:eastAsia="Times New Roman"/>
          <w:b w:val="0"/>
          <w:i w:val="0"/>
          <w:sz w:val="22"/>
        </w:rPr>
        <w:t>Contractor warrants that, to its knowledge, the Work Product will not infringe the intellectual property rights of any third party.</w:t>
      </w:r>
    </w:p>
    <w:p>
      <w:pPr>
        <w:pStyle w:val="ListBullet"/>
        <w:ind w:left="360"/>
      </w:pPr>
      <w:r>
        <w:rPr>
          <w:rFonts w:ascii="Times New Roman" w:hAnsi="Times New Roman" w:eastAsia="Times New Roman"/>
          <w:b w:val="0"/>
          <w:i w:val="0"/>
          <w:sz w:val="22"/>
        </w:rPr>
        <w:t>Contractor will remedy, at no additional charge, any material defects in the Work Product reported by Client within ____________ days of delivery or production deployment of the applicable deliverable ("Warranty Period").</w:t>
      </w:r>
    </w:p>
    <w:p>
      <w:pPr>
        <w:pStyle w:val="ListBullet"/>
        <w:ind w:left="360"/>
      </w:pPr>
      <w:r>
        <w:rPr>
          <w:rFonts w:ascii="Times New Roman" w:hAnsi="Times New Roman" w:eastAsia="Times New Roman"/>
          <w:b w:val="0"/>
          <w:i w:val="0"/>
          <w:sz w:val="22"/>
        </w:rPr>
        <w:t>EXCEPT AS EXPRESSLY STATED HEREIN, THE SERVICES AND WORK PRODUCT ARE PROVIDED "AS IS," WITHOUT WARRANTIES OF ANY KIND, WHETHER EXPRESS OR IMPLIED, INCLUDING MERCHANTABILITY OR FITNESS FOR A PARTICULAR PURPOSE. CONTRACTOR DOES NOT WARRANT UNINTERRUPTED OR ERROR-FREE OPERATION OF THIRD-PARTY SERVICES (INCLUDING PAYMENT PROCESSORS, HOSTING PROVIDERS, OR EMAIL PROVIDERS).</w:t>
      </w:r>
    </w:p>
    <w:p>
      <w:pPr>
        <w:spacing w:before="280" w:after="120"/>
      </w:pPr>
      <w:r>
        <w:rPr>
          <w:rFonts w:ascii="Times New Roman" w:hAnsi="Times New Roman" w:eastAsia="Times New Roman"/>
          <w:b/>
          <w:i w:val="0"/>
          <w:sz w:val="24"/>
        </w:rPr>
        <w:t>9. Termination</w:t>
      </w:r>
    </w:p>
    <w:p>
      <w:r>
        <w:rPr>
          <w:rFonts w:ascii="Times New Roman" w:hAnsi="Times New Roman" w:eastAsia="Times New Roman"/>
          <w:b w:val="0"/>
          <w:i w:val="0"/>
          <w:sz w:val="22"/>
        </w:rPr>
        <w:t>9.1 Termination for Convenience. Either Party may terminate this Agreement for any reason upon ____________ days' written notice.</w:t>
      </w:r>
    </w:p>
    <w:p>
      <w:r>
        <w:rPr>
          <w:rFonts w:ascii="Times New Roman" w:hAnsi="Times New Roman" w:eastAsia="Times New Roman"/>
          <w:b w:val="0"/>
          <w:i w:val="0"/>
          <w:sz w:val="22"/>
        </w:rPr>
        <w:t>9.2 Termination for Cause. Either Party may terminate immediately upon written notice if the other Party materially breaches this Agreement and fails to cure within ____________ days of written notice of such breach (or immediately if the breach is not reasonably curable).</w:t>
      </w:r>
    </w:p>
    <w:p>
      <w:r>
        <w:rPr>
          <w:rFonts w:ascii="Times New Roman" w:hAnsi="Times New Roman" w:eastAsia="Times New Roman"/>
          <w:b w:val="0"/>
          <w:i w:val="0"/>
          <w:sz w:val="22"/>
        </w:rPr>
        <w:t>9.3 Effect of Termination. Client shall pay for all Services performed and approved expenses incurred through the effective date of termination. Within ____________ days after termination or Client's written request, Contractor shall deliver or make available: (a) current Work Product and source repositories; (b) deployment and environment documentation reasonably needed to operate the Platforms; (c) credentials and access then held by Contractor (or confirmation of revocation); and (d) a reasonable transition briefing to Client or a successor contractor. Contractor shall not retain Client production secrets after handover except as required by law or as mutually agreed in writing for a limited transition period.</w:t>
      </w:r>
    </w:p>
    <w:p>
      <w:r>
        <w:rPr>
          <w:rFonts w:ascii="Times New Roman" w:hAnsi="Times New Roman" w:eastAsia="Times New Roman"/>
          <w:b w:val="0"/>
          <w:i w:val="0"/>
          <w:sz w:val="22"/>
        </w:rPr>
        <w:t>9.4 Survival. Sections 4, 5, 6, 10, 11, and 12 survive termination.</w:t>
      </w:r>
    </w:p>
    <w:p>
      <w:pPr>
        <w:spacing w:before="280" w:after="120"/>
      </w:pPr>
      <w:r>
        <w:rPr>
          <w:rFonts w:ascii="Times New Roman" w:hAnsi="Times New Roman" w:eastAsia="Times New Roman"/>
          <w:b/>
          <w:i w:val="0"/>
          <w:sz w:val="24"/>
        </w:rPr>
        <w:t>10. Limitation of Liability</w:t>
      </w:r>
    </w:p>
    <w:p>
      <w:r>
        <w:rPr>
          <w:rFonts w:ascii="Times New Roman" w:hAnsi="Times New Roman" w:eastAsia="Times New Roman"/>
          <w:b w:val="0"/>
          <w:i w:val="0"/>
          <w:sz w:val="22"/>
        </w:rPr>
        <w:t>EXCEPT FOR BREACHES OF SECTION 5 (CONFIDENTIALITY), OBLIGATIONS UNDER A BAA WITH RESPECT TO PHI, INDEMNIFICATION OBLIGATIONS UNDER SECTION 11, OR GROSS NEGLIGENCE / WILLFUL MISCONDUCT, NEITHER PARTY SHALL BE LIABLE FOR ANY INDIRECT, INCIDENTAL, SPECIAL, OR CONSEQUENTIAL DAMAGES, AND EACH PARTY'S TOTAL LIABILITY UNDER THIS AGREEMENT SHALL NOT EXCEED THE TOTAL FEES PAID OR PAYABLE BY CLIENT UNDER THIS AGREEMENT IN THE ____________ MONTHS PRECEDING THE CLAIM.</w:t>
      </w:r>
    </w:p>
    <w:p>
      <w:pPr>
        <w:spacing w:before="280" w:after="120"/>
      </w:pPr>
      <w:r>
        <w:rPr>
          <w:rFonts w:ascii="Times New Roman" w:hAnsi="Times New Roman" w:eastAsia="Times New Roman"/>
          <w:b/>
          <w:i w:val="0"/>
          <w:sz w:val="24"/>
        </w:rPr>
        <w:t>11. Indemnification</w:t>
      </w:r>
    </w:p>
    <w:p>
      <w:r>
        <w:rPr>
          <w:rFonts w:ascii="Times New Roman" w:hAnsi="Times New Roman" w:eastAsia="Times New Roman"/>
          <w:b w:val="0"/>
          <w:i w:val="0"/>
          <w:sz w:val="22"/>
        </w:rPr>
        <w:t>Each Party shall indemnify, defend, and hold harmless the other Party from third-party claims, damages, and reasonable expenses (including attorneys' fees) arising from: (a) its breach of this Agreement; (b) its gross negligence or willful misconduct; or (c) its violation of applicable law. This indemnification obligation is subject to the limitations in Section 10 where applicable, except to the extent a BAA provides otherwise regarding PHI.</w:t>
      </w:r>
    </w:p>
    <w:p>
      <w:pPr>
        <w:spacing w:before="280" w:after="120"/>
      </w:pPr>
      <w:r>
        <w:rPr>
          <w:rFonts w:ascii="Times New Roman" w:hAnsi="Times New Roman" w:eastAsia="Times New Roman"/>
          <w:b/>
          <w:i w:val="0"/>
          <w:sz w:val="24"/>
        </w:rPr>
        <w:t>12. General Provisions</w:t>
      </w:r>
    </w:p>
    <w:p>
      <w:pPr>
        <w:pStyle w:val="ListBullet"/>
        <w:ind w:left="360"/>
      </w:pPr>
      <w:r>
        <w:rPr>
          <w:rFonts w:ascii="Times New Roman" w:hAnsi="Times New Roman" w:eastAsia="Times New Roman"/>
          <w:b w:val="0"/>
          <w:i w:val="0"/>
          <w:sz w:val="22"/>
        </w:rPr>
        <w:t>Governing Law: This Agreement is governed by the laws of the State of ____________, without regard to conflict-of-laws principles.</w:t>
      </w:r>
    </w:p>
    <w:p>
      <w:pPr>
        <w:pStyle w:val="ListBullet"/>
        <w:ind w:left="360"/>
      </w:pPr>
      <w:r>
        <w:rPr>
          <w:rFonts w:ascii="Times New Roman" w:hAnsi="Times New Roman" w:eastAsia="Times New Roman"/>
          <w:b w:val="0"/>
          <w:i w:val="0"/>
          <w:sz w:val="22"/>
        </w:rPr>
        <w:t>Dispute Resolution: The Parties shall first attempt to resolve disputes informally in good faith. Unresolved disputes shall be resolved through ____________ (e.g., binding arbitration / courts of ____________ County).</w:t>
      </w:r>
    </w:p>
    <w:p>
      <w:pPr>
        <w:pStyle w:val="ListBullet"/>
        <w:ind w:left="360"/>
      </w:pPr>
      <w:r>
        <w:rPr>
          <w:rFonts w:ascii="Times New Roman" w:hAnsi="Times New Roman" w:eastAsia="Times New Roman"/>
          <w:b w:val="0"/>
          <w:i w:val="0"/>
          <w:sz w:val="22"/>
        </w:rPr>
        <w:t>Assignment: Neither Party may assign this Agreement without the other's prior written consent, except in connection with a merger, acquisition, or sale of substantially all assets, provided the assignee assumes this Agreement in writing.</w:t>
      </w:r>
    </w:p>
    <w:p>
      <w:pPr>
        <w:pStyle w:val="ListBullet"/>
        <w:ind w:left="360"/>
      </w:pPr>
      <w:r>
        <w:rPr>
          <w:rFonts w:ascii="Times New Roman" w:hAnsi="Times New Roman" w:eastAsia="Times New Roman"/>
          <w:b w:val="0"/>
          <w:i w:val="0"/>
          <w:sz w:val="22"/>
        </w:rPr>
        <w:t>Force Majeure: Neither Party is liable for delays or failures caused by events beyond its reasonable control, including outages of third-party cloud, payment, or communications providers, provided the affected Party gives prompt notice and uses reasonable efforts to mitigate.</w:t>
      </w:r>
    </w:p>
    <w:p>
      <w:pPr>
        <w:pStyle w:val="ListBullet"/>
        <w:ind w:left="360"/>
      </w:pPr>
      <w:r>
        <w:rPr>
          <w:rFonts w:ascii="Times New Roman" w:hAnsi="Times New Roman" w:eastAsia="Times New Roman"/>
          <w:b w:val="0"/>
          <w:i w:val="0"/>
          <w:sz w:val="22"/>
        </w:rPr>
        <w:t>Entire Agreement: This Agreement, together with any Exhibits, SOWs, change orders, and any executed BAA, constitutes the entire agreement between the Parties regarding its subject matter and supersedes all prior discussions or agreements regarding that subject matter.</w:t>
      </w:r>
    </w:p>
    <w:p>
      <w:pPr>
        <w:pStyle w:val="ListBullet"/>
        <w:ind w:left="360"/>
      </w:pPr>
      <w:r>
        <w:rPr>
          <w:rFonts w:ascii="Times New Roman" w:hAnsi="Times New Roman" w:eastAsia="Times New Roman"/>
          <w:b w:val="0"/>
          <w:i w:val="0"/>
          <w:sz w:val="22"/>
        </w:rPr>
        <w:t>Amendment: This Agreement may only be amended by a written instrument signed by both Parties.</w:t>
      </w:r>
    </w:p>
    <w:p>
      <w:pPr>
        <w:pStyle w:val="ListBullet"/>
        <w:ind w:left="360"/>
      </w:pPr>
      <w:r>
        <w:rPr>
          <w:rFonts w:ascii="Times New Roman" w:hAnsi="Times New Roman" w:eastAsia="Times New Roman"/>
          <w:b w:val="0"/>
          <w:i w:val="0"/>
          <w:sz w:val="22"/>
        </w:rPr>
        <w:t>Severability: If any provision is held unenforceable, the remaining provisions remain in full force and effect.</w:t>
      </w:r>
    </w:p>
    <w:p>
      <w:pPr>
        <w:pStyle w:val="ListBullet"/>
        <w:ind w:left="360"/>
      </w:pPr>
      <w:r>
        <w:rPr>
          <w:rFonts w:ascii="Times New Roman" w:hAnsi="Times New Roman" w:eastAsia="Times New Roman"/>
          <w:b w:val="0"/>
          <w:i w:val="0"/>
          <w:sz w:val="22"/>
        </w:rPr>
        <w:t>Notices: All notices shall be in writing and delivered by email with confirmation of receipt, overnight courier, or certified mail to the addresses set forth above (or such other address as a Party may designate in writing).</w:t>
      </w:r>
    </w:p>
    <w:p>
      <w:pPr>
        <w:pStyle w:val="ListBullet"/>
        <w:ind w:left="360"/>
      </w:pPr>
      <w:r>
        <w:rPr>
          <w:rFonts w:ascii="Times New Roman" w:hAnsi="Times New Roman" w:eastAsia="Times New Roman"/>
          <w:b w:val="0"/>
          <w:i w:val="0"/>
          <w:sz w:val="22"/>
        </w:rPr>
        <w:t>Counterparts: This Agreement may be executed in counterparts (including electronic signature), each of which is deemed an original.</w:t>
      </w:r>
    </w:p>
    <w:p>
      <w:pPr>
        <w:spacing w:before="280" w:after="120"/>
      </w:pPr>
      <w:r>
        <w:rPr>
          <w:rFonts w:ascii="Times New Roman" w:hAnsi="Times New Roman" w:eastAsia="Times New Roman"/>
          <w:b/>
          <w:i w:val="0"/>
          <w:sz w:val="24"/>
        </w:rPr>
        <w:t>Signatures</w:t>
      </w:r>
    </w:p>
    <w:p>
      <w:r>
        <w:rPr>
          <w:rFonts w:ascii="Times New Roman" w:hAnsi="Times New Roman" w:eastAsia="Times New Roman"/>
          <w:b w:val="0"/>
          <w:i w:val="0"/>
          <w:sz w:val="22"/>
        </w:rPr>
        <w:t>IN WITNESS WHEREOF, the Parties have executed this Agreement as of the Effective Date.</w:t>
      </w:r>
    </w:p>
    <w:p>
      <w:pPr>
        <w:spacing w:after="80"/>
      </w:pPr>
    </w:p>
    <w:p>
      <w:r>
        <w:rPr>
          <w:rFonts w:ascii="Times New Roman" w:hAnsi="Times New Roman" w:eastAsia="Times New Roman"/>
          <w:b/>
          <w:i w:val="0"/>
          <w:sz w:val="22"/>
        </w:rPr>
        <w:t>CLIENT — WellnessTech Corporation (and covered affiliates as applicable)</w:t>
      </w:r>
    </w:p>
    <w:p>
      <w:r>
        <w:rPr>
          <w:rFonts w:ascii="Times New Roman" w:hAnsi="Times New Roman" w:eastAsia="Times New Roman"/>
          <w:b w:val="0"/>
          <w:i w:val="0"/>
          <w:sz w:val="22"/>
        </w:rPr>
        <w:t>Signature: ____________________________________</w:t>
      </w:r>
    </w:p>
    <w:p>
      <w:r>
        <w:rPr>
          <w:rFonts w:ascii="Times New Roman" w:hAnsi="Times New Roman" w:eastAsia="Times New Roman"/>
          <w:b w:val="0"/>
          <w:i w:val="0"/>
          <w:sz w:val="22"/>
        </w:rPr>
        <w:t>Name: ____________________________________</w:t>
      </w:r>
    </w:p>
    <w:p>
      <w:r>
        <w:rPr>
          <w:rFonts w:ascii="Times New Roman" w:hAnsi="Times New Roman" w:eastAsia="Times New Roman"/>
          <w:b w:val="0"/>
          <w:i w:val="0"/>
          <w:sz w:val="22"/>
        </w:rPr>
        <w:t>Title: ____________________________________</w:t>
      </w:r>
    </w:p>
    <w:p>
      <w:r>
        <w:rPr>
          <w:rFonts w:ascii="Times New Roman" w:hAnsi="Times New Roman" w:eastAsia="Times New Roman"/>
          <w:b w:val="0"/>
          <w:i w:val="0"/>
          <w:sz w:val="22"/>
        </w:rPr>
        <w:t>Date: ____________________________________</w:t>
      </w:r>
    </w:p>
    <w:p>
      <w:pPr>
        <w:spacing w:after="80"/>
      </w:pPr>
    </w:p>
    <w:p>
      <w:r>
        <w:rPr>
          <w:rFonts w:ascii="Times New Roman" w:hAnsi="Times New Roman" w:eastAsia="Times New Roman"/>
          <w:b/>
          <w:i w:val="0"/>
          <w:sz w:val="22"/>
        </w:rPr>
        <w:t>CONTRACTOR</w:t>
      </w:r>
    </w:p>
    <w:p>
      <w:r>
        <w:rPr>
          <w:rFonts w:ascii="Times New Roman" w:hAnsi="Times New Roman" w:eastAsia="Times New Roman"/>
          <w:b w:val="0"/>
          <w:i w:val="0"/>
          <w:sz w:val="22"/>
        </w:rPr>
        <w:t>Signature: ____________________________________</w:t>
      </w:r>
    </w:p>
    <w:p>
      <w:r>
        <w:rPr>
          <w:rFonts w:ascii="Times New Roman" w:hAnsi="Times New Roman" w:eastAsia="Times New Roman"/>
          <w:b w:val="0"/>
          <w:i w:val="0"/>
          <w:sz w:val="22"/>
        </w:rPr>
        <w:t>Name: ____________________________________</w:t>
      </w:r>
    </w:p>
    <w:p>
      <w:r>
        <w:rPr>
          <w:rFonts w:ascii="Times New Roman" w:hAnsi="Times New Roman" w:eastAsia="Times New Roman"/>
          <w:b w:val="0"/>
          <w:i w:val="0"/>
          <w:sz w:val="22"/>
        </w:rPr>
        <w:t>Title: ____________________________________</w:t>
      </w:r>
    </w:p>
    <w:p>
      <w:r>
        <w:rPr>
          <w:rFonts w:ascii="Times New Roman" w:hAnsi="Times New Roman" w:eastAsia="Times New Roman"/>
          <w:b w:val="0"/>
          <w:i w:val="0"/>
          <w:sz w:val="22"/>
        </w:rPr>
        <w:t>Date: ____________________________________</w:t>
      </w:r>
    </w:p>
    <w:p>
      <w:r>
        <w:br w:type="page"/>
      </w:r>
    </w:p>
    <w:p>
      <w:pPr>
        <w:spacing w:after="80"/>
        <w:jc w:val="center"/>
      </w:pPr>
      <w:r>
        <w:rPr>
          <w:rFonts w:ascii="Times New Roman" w:hAnsi="Times New Roman" w:eastAsia="Times New Roman"/>
          <w:b/>
          <w:i w:val="0"/>
          <w:sz w:val="28"/>
        </w:rPr>
        <w:t>EXHIBIT A — STATEMENT OF WORK</w:t>
      </w:r>
    </w:p>
    <w:p>
      <w:pPr>
        <w:spacing w:after="240"/>
        <w:jc w:val="center"/>
      </w:pPr>
      <w:r>
        <w:rPr>
          <w:rFonts w:ascii="Times New Roman" w:hAnsi="Times New Roman" w:eastAsia="Times New Roman"/>
          <w:b/>
          <w:i w:val="0"/>
          <w:sz w:val="22"/>
        </w:rPr>
        <w:t>(Initial Scope for WellnessTech Digital Platforms)</w:t>
      </w:r>
    </w:p>
    <w:p>
      <w:r>
        <w:rPr>
          <w:rFonts w:ascii="Times New Roman" w:hAnsi="Times New Roman" w:eastAsia="Times New Roman"/>
          <w:b w:val="0"/>
          <w:i w:val="0"/>
          <w:sz w:val="22"/>
        </w:rPr>
        <w:t>This Exhibit A is incorporated into the Agreement. Blanks and bracketed items should be completed before signing.</w:t>
      </w:r>
    </w:p>
    <w:p>
      <w:pPr>
        <w:spacing w:after="80"/>
      </w:pPr>
    </w:p>
    <w:p>
      <w:r>
        <w:rPr>
          <w:rFonts w:ascii="Times New Roman" w:hAnsi="Times New Roman" w:eastAsia="Times New Roman"/>
          <w:b/>
          <w:i w:val="0"/>
          <w:sz w:val="22"/>
        </w:rPr>
        <w:t xml:space="preserve">Project Name: </w:t>
      </w:r>
      <w:r>
        <w:rPr>
          <w:rFonts w:ascii="Times New Roman" w:hAnsi="Times New Roman" w:eastAsia="Times New Roman"/>
          <w:b w:val="0"/>
          <w:i w:val="0"/>
          <w:sz w:val="22"/>
        </w:rPr>
        <w:t>WellnessTech Multi-Brand Digital Platforms — Development &amp; Management</w:t>
      </w:r>
    </w:p>
    <w:p>
      <w:r>
        <w:rPr>
          <w:rFonts w:ascii="Times New Roman" w:hAnsi="Times New Roman" w:eastAsia="Times New Roman"/>
          <w:b/>
          <w:i w:val="0"/>
          <w:sz w:val="22"/>
        </w:rPr>
        <w:t xml:space="preserve">Client Entity: </w:t>
      </w:r>
      <w:r>
        <w:rPr>
          <w:rFonts w:ascii="Times New Roman" w:hAnsi="Times New Roman" w:eastAsia="Times New Roman"/>
          <w:b w:val="0"/>
          <w:i w:val="0"/>
          <w:sz w:val="22"/>
        </w:rPr>
        <w:t>WellnessTech Corporation (parent)</w:t>
      </w:r>
    </w:p>
    <w:p>
      <w:r>
        <w:rPr>
          <w:rFonts w:ascii="Times New Roman" w:hAnsi="Times New Roman" w:eastAsia="Times New Roman"/>
          <w:b/>
          <w:i w:val="0"/>
          <w:sz w:val="22"/>
        </w:rPr>
        <w:t xml:space="preserve">Sites / Brands Covered: </w:t>
      </w:r>
      <w:r>
        <w:rPr>
          <w:rFonts w:ascii="Times New Roman" w:hAnsi="Times New Roman" w:eastAsia="Times New Roman"/>
          <w:b w:val="0"/>
          <w:i w:val="0"/>
          <w:sz w:val="22"/>
        </w:rPr>
        <w:t>KIAN Privé; KIAN Privé Wellness Hub / Privé Therapeutics; WellnessTech Bio Distribution; Facial Aesthetics / Facial Design Studio; 4EverGlow Wellness; JOA (when developed); other properties listed below: ________________</w:t>
      </w:r>
    </w:p>
    <w:p>
      <w:r>
        <w:rPr>
          <w:rFonts w:ascii="Times New Roman" w:hAnsi="Times New Roman" w:eastAsia="Times New Roman"/>
          <w:b/>
          <w:i w:val="0"/>
          <w:sz w:val="22"/>
        </w:rPr>
        <w:t xml:space="preserve">Platform / Tech Stack: </w:t>
      </w:r>
      <w:r>
        <w:rPr>
          <w:rFonts w:ascii="Times New Roman" w:hAnsi="Times New Roman" w:eastAsia="Times New Roman"/>
          <w:b w:val="0"/>
          <w:i w:val="0"/>
          <w:sz w:val="22"/>
        </w:rPr>
        <w:t>Custom web applications (e.g., Next.js and/or TanStack Start), APIs, PostgreSQL / Prisma (or successor), hosted cloud deployments, GitHub (or successor) source control — not a single WordPress/Webflow brochure site unless separately specified</w:t>
      </w:r>
    </w:p>
    <w:p>
      <w:r>
        <w:rPr>
          <w:rFonts w:ascii="Times New Roman" w:hAnsi="Times New Roman" w:eastAsia="Times New Roman"/>
          <w:b/>
          <w:i w:val="0"/>
          <w:sz w:val="22"/>
        </w:rPr>
        <w:t xml:space="preserve">Key Deliverables (built / in scope): </w:t>
      </w:r>
      <w:r>
        <w:rPr>
          <w:rFonts w:ascii="Times New Roman" w:hAnsi="Times New Roman" w:eastAsia="Times New Roman"/>
          <w:b w:val="0"/>
          <w:i w:val="0"/>
          <w:sz w:val="22"/>
        </w:rPr>
        <w:t>Public brand websites; shop/catalog; booking flows; clinical / wellness intake forms (including peptide / GLP review intakes and related consents); $75 provider review deposit / fee collection where applicable; partner-clinic intake forwarding into central Client systems; practitioner / admin portals; email notifications; EHR / Wellness Tech chart routing as directed by Client; ongoing maintenance as listed below</w:t>
      </w:r>
    </w:p>
    <w:p>
      <w:r>
        <w:rPr>
          <w:rFonts w:ascii="Times New Roman" w:hAnsi="Times New Roman" w:eastAsia="Times New Roman"/>
          <w:b/>
          <w:i w:val="0"/>
          <w:sz w:val="22"/>
        </w:rPr>
        <w:t xml:space="preserve">Design Assets / Brand Guidelines Provided by Client: </w:t>
      </w:r>
      <w:r>
        <w:rPr>
          <w:rFonts w:ascii="Times New Roman" w:hAnsi="Times New Roman" w:eastAsia="Times New Roman"/>
          <w:b w:val="0"/>
          <w:i w:val="0"/>
          <w:sz w:val="22"/>
        </w:rPr>
        <w:t>____________________________________</w:t>
      </w:r>
    </w:p>
    <w:p>
      <w:r>
        <w:rPr>
          <w:rFonts w:ascii="Times New Roman" w:hAnsi="Times New Roman" w:eastAsia="Times New Roman"/>
          <w:b/>
          <w:i w:val="0"/>
          <w:sz w:val="22"/>
        </w:rPr>
        <w:t xml:space="preserve">Timeline / Milestones: </w:t>
      </w:r>
      <w:r>
        <w:rPr>
          <w:rFonts w:ascii="Times New Roman" w:hAnsi="Times New Roman" w:eastAsia="Times New Roman"/>
          <w:b w:val="0"/>
          <w:i w:val="0"/>
          <w:sz w:val="22"/>
        </w:rPr>
        <w:t>____________________________________</w:t>
      </w:r>
    </w:p>
    <w:p>
      <w:r>
        <w:rPr>
          <w:rFonts w:ascii="Times New Roman" w:hAnsi="Times New Roman" w:eastAsia="Times New Roman"/>
          <w:b/>
          <w:i w:val="0"/>
          <w:sz w:val="22"/>
        </w:rPr>
        <w:t xml:space="preserve">Repositories / Source Control: </w:t>
      </w:r>
      <w:r>
        <w:rPr>
          <w:rFonts w:ascii="Times New Roman" w:hAnsi="Times New Roman" w:eastAsia="Times New Roman"/>
          <w:b w:val="0"/>
          <w:i w:val="0"/>
          <w:sz w:val="22"/>
        </w:rPr>
        <w:t>____________________________________ (org/repos; access roles)</w:t>
      </w:r>
    </w:p>
    <w:p>
      <w:r>
        <w:rPr>
          <w:rFonts w:ascii="Times New Roman" w:hAnsi="Times New Roman" w:eastAsia="Times New Roman"/>
          <w:b/>
          <w:i w:val="0"/>
          <w:sz w:val="22"/>
        </w:rPr>
        <w:t xml:space="preserve">Hosting / Cloud Provider(s): </w:t>
      </w:r>
      <w:r>
        <w:rPr>
          <w:rFonts w:ascii="Times New Roman" w:hAnsi="Times New Roman" w:eastAsia="Times New Roman"/>
          <w:b w:val="0"/>
          <w:i w:val="0"/>
          <w:sz w:val="22"/>
        </w:rPr>
        <w:t>____________________________________</w:t>
      </w:r>
    </w:p>
    <w:p>
      <w:r>
        <w:rPr>
          <w:rFonts w:ascii="Times New Roman" w:hAnsi="Times New Roman" w:eastAsia="Times New Roman"/>
          <w:b/>
          <w:i w:val="0"/>
          <w:sz w:val="22"/>
        </w:rPr>
        <w:t xml:space="preserve">Third-Party Integrations: </w:t>
      </w:r>
      <w:r>
        <w:rPr>
          <w:rFonts w:ascii="Times New Roman" w:hAnsi="Times New Roman" w:eastAsia="Times New Roman"/>
          <w:b w:val="0"/>
          <w:i w:val="0"/>
          <w:sz w:val="22"/>
        </w:rPr>
        <w:t>Authorize.net (or successor); Resend / transactional email; booking/scheduling; partner intake APIs; analytics; other: ________________</w:t>
      </w:r>
    </w:p>
    <w:p>
      <w:r>
        <w:rPr>
          <w:rFonts w:ascii="Times New Roman" w:hAnsi="Times New Roman" w:eastAsia="Times New Roman"/>
          <w:b/>
          <w:i w:val="0"/>
          <w:sz w:val="22"/>
        </w:rPr>
        <w:t xml:space="preserve">Environments: </w:t>
      </w:r>
      <w:r>
        <w:rPr>
          <w:rFonts w:ascii="Times New Roman" w:hAnsi="Times New Roman" w:eastAsia="Times New Roman"/>
          <w:b w:val="0"/>
          <w:i w:val="0"/>
          <w:sz w:val="22"/>
        </w:rPr>
        <w:t>Production and staging/development as applicable: ________________</w:t>
      </w:r>
    </w:p>
    <w:p>
      <w:r>
        <w:rPr>
          <w:rFonts w:ascii="Times New Roman" w:hAnsi="Times New Roman" w:eastAsia="Times New Roman"/>
          <w:b/>
          <w:i w:val="0"/>
          <w:sz w:val="22"/>
        </w:rPr>
        <w:t xml:space="preserve">Maintenance Scope (in-scope monthly): </w:t>
      </w:r>
      <w:r>
        <w:rPr>
          <w:rFonts w:ascii="Times New Roman" w:hAnsi="Times New Roman" w:eastAsia="Times New Roman"/>
          <w:b w:val="0"/>
          <w:i w:val="0"/>
          <w:sz w:val="22"/>
        </w:rPr>
        <w:t>Bug fixes for in-scope features; security/dependency updates; backup verification as configured; uptime troubleshooting; minor content/config changes within agreed monthly hours: ____ hours/month</w:t>
      </w:r>
    </w:p>
    <w:p>
      <w:r>
        <w:rPr>
          <w:rFonts w:ascii="Times New Roman" w:hAnsi="Times New Roman" w:eastAsia="Times New Roman"/>
          <w:b/>
          <w:i w:val="0"/>
          <w:sz w:val="22"/>
        </w:rPr>
        <w:t xml:space="preserve">Response Time / SLA: </w:t>
      </w:r>
      <w:r>
        <w:rPr>
          <w:rFonts w:ascii="Times New Roman" w:hAnsi="Times New Roman" w:eastAsia="Times New Roman"/>
          <w:b w:val="0"/>
          <w:i w:val="0"/>
          <w:sz w:val="22"/>
        </w:rPr>
        <w:t>Critical (site down, payment failure, intake submission failure): ____ hours response. High: ____ business hours. Normal content/feature requests: queued within maintenance hours or billed hourly</w:t>
      </w:r>
    </w:p>
    <w:p>
      <w:r>
        <w:rPr>
          <w:rFonts w:ascii="Times New Roman" w:hAnsi="Times New Roman" w:eastAsia="Times New Roman"/>
          <w:b/>
          <w:i w:val="0"/>
          <w:sz w:val="22"/>
        </w:rPr>
        <w:t xml:space="preserve">Out-of-Scope Items: </w:t>
      </w:r>
      <w:r>
        <w:rPr>
          <w:rFonts w:ascii="Times New Roman" w:hAnsi="Times New Roman" w:eastAsia="Times New Roman"/>
          <w:b w:val="0"/>
          <w:i w:val="0"/>
          <w:sz w:val="22"/>
        </w:rPr>
        <w:t>Medical judgment / prescribing; clinical protocol authorship; pharmacy operations; unpaid brand properties not listed above; major new product builds without change order; unpaid third-party license fees; training beyond agreed hours; SEO content marketing campaigns</w:t>
      </w:r>
    </w:p>
    <w:p>
      <w:r>
        <w:rPr>
          <w:rFonts w:ascii="Times New Roman" w:hAnsi="Times New Roman" w:eastAsia="Times New Roman"/>
          <w:b/>
          <w:i w:val="0"/>
          <w:sz w:val="22"/>
        </w:rPr>
        <w:t xml:space="preserve">Deliverables Acceptance: </w:t>
      </w:r>
      <w:r>
        <w:rPr>
          <w:rFonts w:ascii="Times New Roman" w:hAnsi="Times New Roman" w:eastAsia="Times New Roman"/>
          <w:b w:val="0"/>
          <w:i w:val="0"/>
          <w:sz w:val="22"/>
        </w:rPr>
        <w:t>Client will review milestone deliverables within ____ business days. Silence after that period constitutes acceptance unless Client provides a written defect list</w:t>
      </w:r>
    </w:p>
    <w:p>
      <w:r>
        <w:rPr>
          <w:rFonts w:ascii="Times New Roman" w:hAnsi="Times New Roman" w:eastAsia="Times New Roman"/>
          <w:b/>
          <w:i w:val="0"/>
          <w:sz w:val="22"/>
        </w:rPr>
        <w:t xml:space="preserve">Fees Cross-Reference: </w:t>
      </w:r>
      <w:r>
        <w:rPr>
          <w:rFonts w:ascii="Times New Roman" w:hAnsi="Times New Roman" w:eastAsia="Times New Roman"/>
          <w:b w:val="0"/>
          <w:i w:val="0"/>
          <w:sz w:val="22"/>
        </w:rPr>
        <w:t>As set forth in Section 3 of the Agreement (complete fee table before signing)</w:t>
      </w:r>
    </w:p>
    <w:p>
      <w:pPr>
        <w:spacing w:after="80"/>
      </w:pPr>
    </w:p>
    <w:p>
      <w:pPr>
        <w:spacing w:before="280" w:after="120"/>
      </w:pPr>
      <w:r>
        <w:rPr>
          <w:rFonts w:ascii="Times New Roman" w:hAnsi="Times New Roman" w:eastAsia="Times New Roman"/>
          <w:b/>
          <w:i w:val="0"/>
          <w:sz w:val="24"/>
        </w:rPr>
        <w:t>Exhibit A Acknowledgment</w:t>
      </w:r>
    </w:p>
    <w:p>
      <w:r>
        <w:rPr>
          <w:rFonts w:ascii="Times New Roman" w:hAnsi="Times New Roman" w:eastAsia="Times New Roman"/>
          <w:b w:val="0"/>
          <w:i w:val="0"/>
          <w:sz w:val="22"/>
        </w:rPr>
        <w:t>Client: ___________________________ Date: ____________</w:t>
      </w:r>
    </w:p>
    <w:p>
      <w:r>
        <w:rPr>
          <w:rFonts w:ascii="Times New Roman" w:hAnsi="Times New Roman" w:eastAsia="Times New Roman"/>
          <w:b w:val="0"/>
          <w:i w:val="0"/>
          <w:sz w:val="22"/>
        </w:rPr>
        <w:t>Contractor: _______________________ Date: ____________</w:t>
      </w:r>
    </w:p>
    <w:p>
      <w:pPr>
        <w:spacing w:after="80"/>
      </w:pPr>
    </w:p>
    <w:p>
      <w:r>
        <w:rPr>
          <w:rFonts w:ascii="Times New Roman" w:hAnsi="Times New Roman" w:eastAsia="Times New Roman"/>
          <w:b w:val="0"/>
          <w:i/>
          <w:sz w:val="20"/>
        </w:rPr>
        <w:t>IMPORTANT: This document is a customized business template prepared for discussion of the Parties' actual multi-site digital platforms. It does not constitute legal advice. Have this Agreement and a separate HIPAA Business Associate Agreement reviewed by a licensed attorney in your governing jurisdiction before use or signature.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