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97ABC">
      <w:pPr>
        <w:jc w:val="both"/>
      </w:pPr>
      <w:r>
        <w:rPr>
          <w:rFonts w:ascii="微软雅黑" w:hAnsi="微软雅黑" w:eastAsia="微软雅黑"/>
          <w:b/>
          <w:sz w:val="36"/>
        </w:rPr>
        <w:t>LLM-Guardian 项目汇报讲稿（精简版）</w:t>
      </w:r>
    </w:p>
    <w:p w14:paraId="3808F6CA">
      <w:pPr>
        <w:jc w:val="both"/>
      </w:pPr>
      <w:r>
        <w:rPr>
          <w:rFonts w:ascii="微软雅黑" w:hAnsi="微软雅黑" w:eastAsia="微软雅黑"/>
          <w:i/>
          <w:sz w:val="22"/>
        </w:rPr>
        <w:t>面向领导演示｜6 分钟版本</w:t>
      </w:r>
    </w:p>
    <w:p w14:paraId="317E4152">
      <w:pPr>
        <w:jc w:val="both"/>
      </w:pPr>
      <w:r>
        <w:rPr>
          <w:rFonts w:ascii="微软雅黑" w:hAnsi="微软雅黑" w:eastAsia="微软雅黑"/>
          <w:b/>
          <w:sz w:val="28"/>
        </w:rPr>
        <w:t>一、6 分钟讲稿</w:t>
      </w:r>
    </w:p>
    <w:p w14:paraId="192B9054">
      <w:pPr>
        <w:pStyle w:val="30"/>
        <w:keepNext w:val="0"/>
        <w:keepLines w:val="0"/>
        <w:widowControl/>
        <w:suppressLineNumbers w:val="0"/>
        <w:jc w:val="both"/>
      </w:pPr>
      <w:r>
        <w:t xml:space="preserve">各位领导好，我是来自 **** 的 ****。今天汇报的项目是 </w:t>
      </w:r>
      <w:r>
        <w:rPr>
          <w:rStyle w:val="136"/>
        </w:rPr>
        <w:t>LLM-Guardian</w:t>
      </w:r>
      <w:r>
        <w:t xml:space="preserve"> 大模型服务质量监测平台。</w:t>
      </w:r>
      <w:bookmarkStart w:id="0" w:name="_GoBack"/>
      <w:bookmarkEnd w:id="0"/>
    </w:p>
    <w:p w14:paraId="1413EDF1">
      <w:pPr>
        <w:pStyle w:val="30"/>
        <w:keepNext w:val="0"/>
        <w:keepLines w:val="0"/>
        <w:widowControl/>
        <w:suppressLineNumbers w:val="0"/>
        <w:jc w:val="both"/>
      </w:pPr>
      <w:r>
        <w:t>随着国家算力基础设施政策持续推进，国内正在加速建设 AI Infra。由于我当前从事的是类似集团“息壤”的 GPU 容器化平台建设，我们接触到越来越多省内外客户，他们普遍存在算力纳管、本地模型部署和模型服务运维的需求。</w:t>
      </w:r>
    </w:p>
    <w:p w14:paraId="07FEF016">
      <w:pPr>
        <w:pStyle w:val="30"/>
        <w:keepNext w:val="0"/>
        <w:keepLines w:val="0"/>
        <w:widowControl/>
        <w:suppressLineNumbers w:val="0"/>
        <w:jc w:val="both"/>
      </w:pPr>
      <w:r>
        <w:t>但在实际落地中，我们发现现有 AI 网关更多解决的是接入、路由和流量治理问题，缺少对模型服务质量的主动监测机制。结果就是，模型是否稳定、性能是否达标、服务何时异常，往往不可预知，这会直接影响 MaaS 等上层应用平台的使用体验。也正是为了响应中国电信集团“1-5-10”要求，即 1 分钟发现、5 分钟定位、10 分钟解决，我设计并实现了这个平台。</w:t>
      </w:r>
    </w:p>
    <w:p w14:paraId="2F08DBEE">
      <w:pPr>
        <w:pStyle w:val="30"/>
        <w:keepNext w:val="0"/>
        <w:keepLines w:val="0"/>
        <w:widowControl/>
        <w:suppressLineNumbers w:val="0"/>
        <w:jc w:val="both"/>
      </w:pPr>
      <w:r>
        <w:rPr>
          <w:rStyle w:val="136"/>
        </w:rPr>
        <w:t>LLM-Guardian</w:t>
      </w:r>
      <w:r>
        <w:t xml:space="preserve"> 聚焦的不是“大模型能不能接入”，而是“大模型上线后能不能稳定运行、是否满足服务承诺、出了问题能不能快速定位和处置”。它本质上是一个面向企业本地大模型服务的性能监测、SLA 审计和智能诊断平台。</w:t>
      </w:r>
    </w:p>
    <w:p w14:paraId="77A36A70">
      <w:pPr>
        <w:pStyle w:val="30"/>
        <w:keepNext w:val="0"/>
        <w:keepLines w:val="0"/>
        <w:widowControl/>
        <w:suppressLineNumbers w:val="0"/>
        <w:jc w:val="both"/>
      </w:pPr>
      <w:r>
        <w:t>从能力上看，平台</w:t>
      </w:r>
      <w:r>
        <w:rPr>
          <w:highlight w:val="yellow"/>
        </w:rPr>
        <w:t>第一项核心能力</w:t>
      </w:r>
      <w:r>
        <w:t>，是统一纳管和监控不同来源的模型服务，包括 OpenAI 兼容接口、Ollama 兼容接口以及第三方自定义兼容接口。纳管后，平台会持续拨测并采集首字延迟、吞吐率、总时延、成功率等关键指标，把原本零散的调用情况沉淀为持续可观测的数据资产。</w:t>
      </w:r>
    </w:p>
    <w:p w14:paraId="51235556">
      <w:pPr>
        <w:pStyle w:val="30"/>
        <w:keepNext w:val="0"/>
        <w:keepLines w:val="0"/>
        <w:widowControl/>
        <w:suppressLineNumbers w:val="0"/>
        <w:jc w:val="both"/>
      </w:pPr>
      <w:r>
        <w:rPr>
          <w:highlight w:val="yellow"/>
        </w:rPr>
        <w:t>第二项核心能力</w:t>
      </w:r>
      <w:r>
        <w:t>，是告警与报告联动。平台能够实时发现异常，并将告警智能推送到飞书、钉钉、邮箱等第三方渠道；同时还能自动生成并推送日报、周报、月报，在报告中附带平台 AI 资源健康诊断建议。这样，管理层看到的就不只是技术报错，而是整体 SLA 水位、重点风险模型以及相应的诊断信息。</w:t>
      </w:r>
    </w:p>
    <w:p w14:paraId="3BCA8570">
      <w:pPr>
        <w:pStyle w:val="30"/>
        <w:keepNext w:val="0"/>
        <w:keepLines w:val="0"/>
        <w:widowControl/>
        <w:suppressLineNumbers w:val="0"/>
        <w:jc w:val="both"/>
      </w:pPr>
      <w:r>
        <w:rPr>
          <w:highlight w:val="yellow"/>
        </w:rPr>
        <w:t>第三项核心能力</w:t>
      </w:r>
      <w:r>
        <w:t>，是平台内置 AI 性能诊断引擎。在纳管本地模型时，可以同步维护模型部署信息，例如部署方式、配置、环境变量和部署参数。后续 AI 引擎会定期将性能指标与部署信息结合分析，辅助判断模型配置是否合理，并为运维提供生产部署建议，例如扩容建议、参数优化建议等。</w:t>
      </w:r>
    </w:p>
    <w:p w14:paraId="78AC1159">
      <w:pPr>
        <w:pStyle w:val="30"/>
        <w:keepNext w:val="0"/>
        <w:keepLines w:val="0"/>
        <w:widowControl/>
        <w:suppressLineNumbers w:val="0"/>
        <w:jc w:val="both"/>
      </w:pPr>
      <w:r>
        <w:t>从价值上看，这个平台可以与 GPU 容器化平台、AI 网关以及现有监控体系形成良好协同，帮助电信内部乃至客户单位建立大模型服务治理闭环。一方面，它显著提升了服务的可观测性和可审计性；另一方面，也有效降低了人工巡检、人工写报告和人工排障的成本。更重要的是，它切实响应了中国电信集团“1-5-10”要求，通过持续拨测和联动告警实现快速发现，通过时序日志、SLA 审计和 AI 诊断辅助快速定位，再通过可视化和报告机制支撑及时处置。</w:t>
      </w:r>
    </w:p>
    <w:p w14:paraId="22F3ADC5">
      <w:pPr>
        <w:pStyle w:val="30"/>
        <w:keepNext w:val="0"/>
        <w:keepLines w:val="0"/>
        <w:widowControl/>
        <w:suppressLineNumbers w:val="0"/>
        <w:jc w:val="both"/>
      </w:pPr>
      <w:r>
        <w:t>最后总结一句，</w:t>
      </w:r>
      <w:r>
        <w:rPr>
          <w:rStyle w:val="136"/>
        </w:rPr>
        <w:t>LLM-Guardian</w:t>
      </w:r>
      <w:r>
        <w:t xml:space="preserve"> 的核心价值，不是让模型“接进来”，而是让模型服务真正做到可观测、可审计、可诊断、可告警、可汇报，推动企业大模型服务从“可用”走向“可运营、可治理”。谢谢各位领导。</w:t>
      </w:r>
    </w:p>
    <w:p w14:paraId="1AAC0D1A">
      <w:pPr>
        <w:pStyle w:val="30"/>
        <w:keepNext w:val="0"/>
        <w:keepLines w:val="0"/>
        <w:widowControl/>
        <w:suppressLineNumbers w:val="0"/>
        <w:jc w:val="both"/>
      </w:pPr>
      <w:r>
        <w:t>如果你愿意，我还能继续帮你把这版再压成一份更适合“6 分钟口语表达”的现场讲稿版。</w:t>
      </w:r>
    </w:p>
    <w:p w14:paraId="60706F85">
      <w:pPr>
        <w:jc w:val="both"/>
      </w:pPr>
      <w:r>
        <w:rPr>
          <w:rFonts w:ascii="微软雅黑" w:hAnsi="微软雅黑" w:eastAsia="微软雅黑"/>
          <w:b/>
          <w:sz w:val="28"/>
        </w:rPr>
        <w:t>二、核心价值提炼</w:t>
      </w:r>
    </w:p>
    <w:p w14:paraId="718B3BC9"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1. 让大模型服务从“能调用”升级到“可运营、可治理”。</w:t>
      </w:r>
    </w:p>
    <w:p w14:paraId="5AAD0DBA"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2. 让性能指标从技术数据升级为日、周、月的 SLA 审计结果。</w:t>
      </w:r>
    </w:p>
    <w:p w14:paraId="176042C1"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3. 结合本地部署信息与性能指标，形成 AI 辅助诊断和生产部署建议。</w:t>
      </w:r>
    </w:p>
    <w:p w14:paraId="6CC133A2"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4. 响应中国电信集团 1-5-10 要求，实现故障快速发现、快速定位、及时处置。</w:t>
      </w:r>
    </w:p>
    <w:p w14:paraId="04574C0D">
      <w:pPr>
        <w:jc w:val="both"/>
      </w:pPr>
      <w:r>
        <w:rPr>
          <w:rFonts w:ascii="微软雅黑" w:hAnsi="微软雅黑" w:eastAsia="微软雅黑"/>
          <w:b/>
          <w:sz w:val="28"/>
        </w:rPr>
        <w:t>三、领导可能提问</w:t>
      </w:r>
    </w:p>
    <w:p w14:paraId="4A851C89">
      <w:pPr>
        <w:jc w:val="both"/>
      </w:pPr>
      <w:r>
        <w:rPr>
          <w:rFonts w:ascii="微软雅黑" w:hAnsi="微软雅黑" w:eastAsia="微软雅黑"/>
          <w:b/>
          <w:sz w:val="24"/>
        </w:rPr>
        <w:t>问题 1：你的项目创新点是什么？</w:t>
      </w:r>
    </w:p>
    <w:p w14:paraId="3FA1A0A8"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建议回答：创新点主要有三点。第一，我们不是做普通监控，而是围绕大模型特有指标建立了一套专门的监测和 SLA 审计体系。第二，我们引入了平台级第三方 AI 诊断入口，并且把本地模型的部署信息也纳入分析范围，让平台不仅知道“性能好不好”，还能够辅助判断“配置是否合理”。第三，我们考虑到生产场景里的不确定性，AI 失败时还能自动切换规则模板兜底，保证报告链路不断档。</w:t>
      </w:r>
    </w:p>
    <w:p w14:paraId="3C6FAE92">
      <w:pPr>
        <w:jc w:val="both"/>
      </w:pPr>
      <w:r>
        <w:rPr>
          <w:rFonts w:ascii="微软雅黑" w:hAnsi="微软雅黑" w:eastAsia="微软雅黑"/>
          <w:b/>
          <w:sz w:val="24"/>
        </w:rPr>
        <w:t>问题 2：你的项目与 AI 网关的区别是什么？</w:t>
      </w:r>
    </w:p>
    <w:p w14:paraId="33E8C1B0">
      <w:pPr>
        <w:spacing w:line="360" w:lineRule="auto"/>
        <w:jc w:val="both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建议回答：AI 网关重点解决的是统一接入、鉴权、路由、限流和流量治理，核心是“请求如何进来和怎么分发”。我们的平台重点解决的是服务质量治理，核心是“模型是否稳定、是否达标、哪里有风险、怎么辅助定位和处置”。简单理解，AI 网关更像流量入口中心，LLM-Guardian 更像质量监管与运维诊断中心，两者是互补关系。</w:t>
      </w:r>
    </w:p>
    <w:p w14:paraId="2669EACB">
      <w:pPr>
        <w:pStyle w:val="30"/>
        <w:keepNext w:val="0"/>
        <w:keepLines w:val="0"/>
        <w:widowControl/>
        <w:suppressLineNumbers w:val="0"/>
        <w:jc w:val="both"/>
      </w:pPr>
      <w:r>
        <w:rPr>
          <w:rFonts w:ascii="微软雅黑" w:hAnsi="微软雅黑" w:eastAsia="微软雅黑"/>
          <w:b/>
          <w:sz w:val="24"/>
        </w:rPr>
        <w:t xml:space="preserve">问题 </w:t>
      </w:r>
      <w:r>
        <w:rPr>
          <w:rFonts w:hint="eastAsia"/>
          <w:b/>
          <w:sz w:val="24"/>
          <w:lang w:val="en-US" w:eastAsia="zh-CN"/>
        </w:rPr>
        <w:t>3</w:t>
      </w:r>
      <w:r>
        <w:rPr>
          <w:rFonts w:ascii="微软雅黑" w:hAnsi="微软雅黑" w:eastAsia="微软雅黑"/>
          <w:b/>
          <w:sz w:val="24"/>
        </w:rPr>
        <w:t>：</w:t>
      </w:r>
      <w:r>
        <w:rPr>
          <w:rFonts w:hint="eastAsia"/>
          <w:b/>
          <w:sz w:val="24"/>
          <w:lang w:val="en-US" w:eastAsia="zh-CN"/>
        </w:rPr>
        <w:t>平台的核心架构、技术亮点是什么？</w:t>
      </w:r>
      <w:r>
        <w:rPr>
          <w:rFonts w:hint="eastAsia"/>
          <w:b/>
          <w:sz w:val="24"/>
          <w:lang w:val="en-US" w:eastAsia="zh-CN"/>
        </w:rPr>
        <w:br w:type="textWrapping"/>
      </w:r>
      <w:r>
        <w:t>可以简要概括为：</w:t>
      </w:r>
    </w:p>
    <w:p w14:paraId="0FED789B">
      <w:pPr>
        <w:pStyle w:val="30"/>
        <w:keepNext w:val="0"/>
        <w:keepLines w:val="0"/>
        <w:widowControl/>
        <w:suppressLineNumbers w:val="0"/>
        <w:jc w:val="both"/>
        <w:rPr>
          <w:rFonts w:ascii="微软雅黑" w:hAnsi="微软雅黑" w:eastAsia="微软雅黑" w:cstheme="minorBidi"/>
          <w:kern w:val="0"/>
          <w:sz w:val="24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en-US" w:bidi="ar-SA"/>
        </w:rPr>
        <w:t>平台核心架构采用前后端分离模式。前端基于 React + TypeScript + Vite + Tailwind CSS，负责模型纳管、拨测配置、时序日志展示、SLA 审计和告警报告等可视化交互。后端基于 FastAPI + SQLAlchemy + SQLite，负责模型管理、拨测调度、指标采集、SLA 计算、AI 诊断、告警推送和报告生成。</w:t>
      </w:r>
    </w:p>
    <w:p w14:paraId="345B767F">
      <w:pPr>
        <w:pStyle w:val="30"/>
        <w:keepNext w:val="0"/>
        <w:keepLines w:val="0"/>
        <w:widowControl/>
        <w:suppressLineNumbers w:val="0"/>
        <w:jc w:val="both"/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en-US" w:bidi="ar-SA"/>
        </w:rPr>
        <w:t>技术亮点主要有三点。第一，平台不是被动看日志，而是通过后端定时调度主动拨测模型服务，采集 TTFT、TPS、总时延、成功率 等大模型关键指标。第二，平台支持维护本地模型的部署信息，后端 AI 诊断引擎会把性能指标和部署配置结合起来分析，辅助输出生产部署建议。第三，平台打通了“监测、审计、诊断、告警、报告”全链路，支持飞书、钉钉、邮箱推送，并能按日、周、月自动生成 SLA 审计报告</w:t>
      </w:r>
      <w:r>
        <w:t>。</w:t>
      </w:r>
    </w:p>
    <w:p w14:paraId="1AEBDFE6">
      <w:pPr>
        <w:jc w:val="both"/>
        <w:rPr>
          <w:rFonts w:hint="default" w:eastAsia="微软雅黑"/>
          <w:lang w:val="en-US" w:eastAsia="zh-CN"/>
        </w:rPr>
      </w:pPr>
    </w:p>
    <w:p w14:paraId="310F18B4">
      <w:pPr>
        <w:spacing w:line="360" w:lineRule="auto"/>
        <w:jc w:val="both"/>
        <w:rPr>
          <w:rFonts w:ascii="微软雅黑" w:hAnsi="微软雅黑" w:eastAsia="微软雅黑"/>
          <w:sz w:val="24"/>
        </w:rPr>
      </w:pPr>
    </w:p>
    <w:p w14:paraId="536A8490">
      <w:pPr>
        <w:spacing w:line="360" w:lineRule="auto"/>
        <w:jc w:val="both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7627D"/>
    <w:rsid w:val="1FEF0ED2"/>
    <w:rsid w:val="5EC512DF"/>
    <w:rsid w:val="5FFA92BB"/>
    <w:rsid w:val="6BD70157"/>
    <w:rsid w:val="76FFC0A8"/>
    <w:rsid w:val="77EDD625"/>
    <w:rsid w:val="77FCE791"/>
    <w:rsid w:val="7BED8DA0"/>
    <w:rsid w:val="7DDFBC54"/>
    <w:rsid w:val="E5DE6CC0"/>
    <w:rsid w:val="EFB6F878"/>
    <w:rsid w:val="F5FE9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Xee</cp:lastModifiedBy>
  <dcterms:modified xsi:type="dcterms:W3CDTF">2026-06-16T17:25:42Z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33CB0C68948B2EA7D00B316A48E326C7_42</vt:lpwstr>
  </property>
</Properties>
</file>