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FBB61">
      <w:pPr>
        <w:jc w:val="center"/>
        <w:rPr>
          <w:rStyle w:val="5"/>
          <w:rFonts w:hint="default" w:ascii="Times New Roman" w:hAnsi="Times New Roman" w:eastAsia="仿宋" w:cs="Times New Roman"/>
          <w:b w:val="0"/>
        </w:rPr>
      </w:pPr>
      <w:r>
        <w:rPr>
          <w:rStyle w:val="5"/>
          <w:rFonts w:hint="default" w:ascii="Times New Roman" w:hAnsi="Times New Roman" w:eastAsia="仿宋" w:cs="Times New Roman"/>
          <w:b w:val="0"/>
        </w:rPr>
        <w:t>LLM-Guardian</w:t>
      </w:r>
    </w:p>
    <w:p w14:paraId="08ACC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jc w:val="both"/>
        <w:textAlignment w:val="auto"/>
        <w:rPr>
          <w:rStyle w:val="5"/>
          <w:rFonts w:hint="eastAsia" w:ascii="Times New Roman" w:hAnsi="Times New Roman" w:eastAsia="仿宋" w:cs="Times New Roman"/>
          <w:b/>
          <w:bCs/>
          <w:sz w:val="28"/>
          <w:szCs w:val="28"/>
          <w:lang w:val="en-US" w:eastAsia="zh-CN"/>
        </w:rPr>
      </w:pPr>
      <w:r>
        <w:rPr>
          <w:rStyle w:val="5"/>
          <w:rFonts w:hint="eastAsia" w:ascii="Times New Roman" w:hAnsi="Times New Roman" w:eastAsia="仿宋" w:cs="Times New Roman"/>
          <w:b/>
          <w:bCs/>
          <w:sz w:val="28"/>
          <w:szCs w:val="28"/>
          <w:lang w:val="en-US" w:eastAsia="zh-CN"/>
        </w:rPr>
        <w:t>项目简介：</w:t>
      </w:r>
    </w:p>
    <w:p w14:paraId="4F8FD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jc w:val="both"/>
        <w:textAlignment w:val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eastAsia="仿宋" w:cs="Times New Roman"/>
          <w:sz w:val="28"/>
          <w:szCs w:val="28"/>
        </w:rPr>
        <w:t>LLM-Guardian 是一套面向本地与私有化大模型服务</w:t>
      </w:r>
      <w:bookmarkStart w:id="0" w:name="_GoBack"/>
      <w:bookmarkEnd w:id="0"/>
      <w:r>
        <w:rPr>
          <w:rFonts w:hint="default" w:ascii="Times New Roman" w:hAnsi="Times New Roman" w:eastAsia="仿宋" w:cs="Times New Roman"/>
          <w:sz w:val="28"/>
          <w:szCs w:val="28"/>
        </w:rPr>
        <w:t>的轻量监控平台，采用 React/Vite 前端与 FastAPI/SQLite 后端，支持渠道管理、定时与即时拨测、TTFT/TPS/E2E/成功率采集、异常告警、时序日志分析及 SLA 审计报告推送，帮助团队持续评估模型服务稳定性与交付质量。</w:t>
      </w:r>
    </w:p>
    <w:p w14:paraId="483C0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jc w:val="both"/>
        <w:textAlignment w:val="auto"/>
        <w:rPr>
          <w:rFonts w:hint="default" w:ascii="Times New Roman" w:hAnsi="Times New Roman" w:eastAsia="仿宋" w:cs="Times New Roman"/>
          <w:sz w:val="28"/>
          <w:szCs w:val="28"/>
        </w:rPr>
      </w:pPr>
      <w:r>
        <w:drawing>
          <wp:inline distT="0" distB="0" distL="114300" distR="114300">
            <wp:extent cx="5717540" cy="3276600"/>
            <wp:effectExtent l="0" t="0" r="2286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F7F10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7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2026-06-13T08:00:00Z</dcterms:created>
  <dc:creator>OpenAI Codex</dc:creator>
  <cp:lastModifiedBy>Xee</cp:lastModifiedBy>
  <dcterms:modified xsi:type="dcterms:W3CDTF">2026-06-13T19:47:15Z</dcterms:modified>
  <dc:title>项目简介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4248E6B279B05E8343432D6AE3C97647_42</vt:lpwstr>
  </property>
</Properties>
</file>