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黑体" w:hAnsi="黑体"/>
          <w:b/>
          <w:color w:val="1F4E79"/>
          <w:sz w:val="36"/>
        </w:rPr>
        <w:t>全椒县二轮延包县级验收管理平台</w:t>
        <w:br/>
        <w:t>自查整改问题反馈记录表汇总开发实施方案</w:t>
      </w:r>
    </w:p>
    <w:p>
      <w:pPr>
        <w:spacing w:after="400"/>
        <w:jc w:val="center"/>
      </w:pPr>
      <w:r>
        <w:rPr>
          <w:rFonts w:ascii="楷体" w:hAnsi="楷体"/>
          <w:color w:val="646464"/>
          <w:sz w:val="21"/>
        </w:rPr>
        <w:t>编制单位：全椒县县级自查验收工作组技术支持团队    编制日期：2026年09月21日</w:t>
      </w:r>
    </w:p>
    <w:p>
      <w:pPr>
        <w:spacing w:before="280" w:after="120"/>
      </w:pPr>
      <w:r>
        <w:rPr>
          <w:rFonts w:ascii="黑体" w:hAnsi="黑体"/>
          <w:b/>
          <w:color w:val="2E75B6"/>
          <w:sz w:val="28"/>
        </w:rPr>
        <w:t>一、背景与建设目标</w:t>
      </w:r>
    </w:p>
    <w:p>
      <w:pPr>
        <w:spacing w:line="324" w:lineRule="auto" w:after="160"/>
      </w:pPr>
      <w:r>
        <w:rPr>
          <w:rFonts w:ascii="仿宋" w:hAnsi="仿宋"/>
          <w:sz w:val="22"/>
        </w:rPr>
        <w:t>在全椒县第二轮土地承包到期后再延长30年试点县级自查验收工作中，按照滁州市及全椒县自查方案要求，自查发现的问题须实行清单化交办、闭环销号管理。当前平台已支持按乡镇导出《附件12 整改通知书》与《附件13 问题整改销号台账》，为进一步满足县级验收专家组及县委农办对全县所有乡镇、行政村问题进行全局性穿透核查与台账汇总的需求，需在【自查整改】模块中新增“导出全县问题反馈记录表汇总”功能。</w:t>
      </w:r>
    </w:p>
    <w:p>
      <w:pPr>
        <w:spacing w:before="280" w:after="120"/>
      </w:pPr>
      <w:r>
        <w:rPr>
          <w:rFonts w:ascii="黑体" w:hAnsi="黑体"/>
          <w:b/>
          <w:color w:val="2E75B6"/>
          <w:sz w:val="28"/>
        </w:rPr>
        <w:t>二、模板规范与输出格式</w:t>
      </w:r>
    </w:p>
    <w:p>
      <w:pPr>
        <w:spacing w:line="324" w:lineRule="auto" w:after="160"/>
      </w:pPr>
      <w:r>
        <w:rPr>
          <w:rFonts w:ascii="仿宋" w:hAnsi="仿宋"/>
          <w:sz w:val="22"/>
        </w:rPr>
        <w:t>本功能严格基于《附件/XX县问题反馈记录表汇总.doc》标准模板生成，输出文件统一命名为《全椒县问题反馈记录表汇总.doc》（多租户自适应替换为对应县级名称）。模板设计规范如下：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黑体" w:hAnsi="黑体"/>
                <w:b/>
                <w:color w:val="FFFFFF"/>
                <w:sz w:val="21"/>
              </w:rPr>
              <w:t>序号/字段</w:t>
            </w:r>
          </w:p>
        </w:tc>
        <w:tc>
          <w:tcPr>
            <w:tcW w:type="dxa" w:w="312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黑体" w:hAnsi="黑体"/>
                <w:b/>
                <w:color w:val="FFFFFF"/>
                <w:sz w:val="21"/>
              </w:rPr>
              <w:t>表格列名称</w:t>
            </w:r>
          </w:p>
        </w:tc>
        <w:tc>
          <w:tcPr>
            <w:tcW w:type="dxa" w:w="312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黑体" w:hAnsi="黑体"/>
                <w:b/>
                <w:color w:val="FFFFFF"/>
                <w:sz w:val="21"/>
              </w:rPr>
              <w:t>规范要求与数据来源说明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仿宋" w:hAnsi="仿宋"/>
                <w:sz w:val="20"/>
              </w:rPr>
              <w:t>第 1 列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仿宋" w:hAnsi="仿宋"/>
                <w:sz w:val="20"/>
              </w:rPr>
              <w:t>序号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仿宋" w:hAnsi="仿宋"/>
                <w:sz w:val="20"/>
              </w:rPr>
              <w:t>自 1 开始连续递增编号，全县问题统一排序。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2F5F9"/>
          </w:tcPr>
          <w:p>
            <w:pPr>
              <w:jc w:val="center"/>
            </w:pPr>
            <w:r>
              <w:rPr>
                <w:rFonts w:ascii="仿宋" w:hAnsi="仿宋"/>
                <w:sz w:val="20"/>
              </w:rPr>
              <w:t>第 2 列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2F5F9"/>
          </w:tcPr>
          <w:p>
            <w:pPr>
              <w:jc w:val="center"/>
            </w:pPr>
            <w:r>
              <w:rPr>
                <w:rFonts w:ascii="仿宋" w:hAnsi="仿宋"/>
                <w:sz w:val="20"/>
              </w:rPr>
              <w:t>所在行政区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2F5F9"/>
          </w:tcPr>
          <w:p>
            <w:pPr>
              <w:jc w:val="left"/>
            </w:pPr>
            <w:r>
              <w:rPr>
                <w:rFonts w:ascii="仿宋" w:hAnsi="仿宋"/>
                <w:sz w:val="20"/>
              </w:rPr>
              <w:t>分级标注：县级标为“全椒县”，乡镇级标为“全椒县XX镇”，村级标为“全椒县XX镇XX村”。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仿宋" w:hAnsi="仿宋"/>
                <w:sz w:val="20"/>
              </w:rPr>
              <w:t>第 3 列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仿宋" w:hAnsi="仿宋"/>
                <w:sz w:val="20"/>
              </w:rPr>
              <w:t>错误大类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仿宋" w:hAnsi="仿宋"/>
                <w:sz w:val="20"/>
              </w:rPr>
              <w:t>四大类：机制运行、程序规范、政策落实、工作成效（外业核查归入程序规范）。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2F5F9"/>
          </w:tcPr>
          <w:p>
            <w:pPr>
              <w:jc w:val="center"/>
            </w:pPr>
            <w:r>
              <w:rPr>
                <w:rFonts w:ascii="仿宋" w:hAnsi="仿宋"/>
                <w:sz w:val="20"/>
              </w:rPr>
              <w:t>第 4 列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2F5F9"/>
          </w:tcPr>
          <w:p>
            <w:pPr>
              <w:jc w:val="center"/>
            </w:pPr>
            <w:r>
              <w:rPr>
                <w:rFonts w:ascii="仿宋" w:hAnsi="仿宋"/>
                <w:sz w:val="20"/>
              </w:rPr>
              <w:t>验收内容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2F5F9"/>
          </w:tcPr>
          <w:p>
            <w:pPr>
              <w:jc w:val="left"/>
            </w:pPr>
            <w:r>
              <w:rPr>
                <w:rFonts w:ascii="仿宋" w:hAnsi="仿宋"/>
                <w:sz w:val="20"/>
              </w:rPr>
              <w:t>四大类对应的具体子项（如：配套延包政策文件、经费保障、成立机构、摸底核实等）。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仿宋" w:hAnsi="仿宋"/>
                <w:sz w:val="20"/>
              </w:rPr>
              <w:t>第 5 列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仿宋" w:hAnsi="仿宋"/>
                <w:sz w:val="20"/>
              </w:rPr>
              <w:t>错误等级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仿宋" w:hAnsi="仿宋"/>
                <w:sz w:val="20"/>
              </w:rPr>
              <w:t>严格分为三级：【严重】、【较重】、【一般】（居中加粗，按等级着色标注）。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2F5F9"/>
          </w:tcPr>
          <w:p>
            <w:pPr>
              <w:jc w:val="center"/>
            </w:pPr>
            <w:r>
              <w:rPr>
                <w:rFonts w:ascii="仿宋" w:hAnsi="仿宋"/>
                <w:sz w:val="20"/>
              </w:rPr>
              <w:t>第 6 列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2F5F9"/>
          </w:tcPr>
          <w:p>
            <w:pPr>
              <w:jc w:val="center"/>
            </w:pPr>
            <w:r>
              <w:rPr>
                <w:rFonts w:ascii="仿宋" w:hAnsi="仿宋"/>
                <w:sz w:val="20"/>
              </w:rPr>
              <w:t>错误描述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2F5F9"/>
          </w:tcPr>
          <w:p>
            <w:pPr>
              <w:jc w:val="left"/>
            </w:pPr>
            <w:r>
              <w:rPr>
                <w:rFonts w:ascii="仿宋" w:hAnsi="仿宋"/>
                <w:sz w:val="20"/>
              </w:rPr>
              <w:t>具体扣分项或问题表现描述（数量型指标自动附带起数，如“未保障特殊群体权益（2起）”）。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仿宋" w:hAnsi="仿宋"/>
                <w:sz w:val="20"/>
              </w:rPr>
              <w:t>第 7 列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仿宋" w:hAnsi="仿宋"/>
                <w:sz w:val="20"/>
              </w:rPr>
              <w:t>照片或其它证据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仿宋" w:hAnsi="仿宋"/>
                <w:sz w:val="20"/>
              </w:rPr>
              <w:t>若核查人员上传了佐证照片，自动按单元格比例缩放嵌入；若无则保持留空。</w:t>
            </w:r>
          </w:p>
        </w:tc>
      </w:tr>
    </w:tbl>
    <w:p>
      <w:pPr>
        <w:spacing w:before="320" w:after="120"/>
      </w:pPr>
      <w:r>
        <w:rPr>
          <w:rFonts w:ascii="黑体" w:hAnsi="黑体"/>
          <w:b/>
          <w:color w:val="2E75B6"/>
          <w:sz w:val="28"/>
        </w:rPr>
        <w:t>三、错误等级三级划分规则与全量清单</w:t>
      </w:r>
    </w:p>
    <w:p>
      <w:pPr>
        <w:spacing w:line="324" w:lineRule="auto" w:after="160"/>
      </w:pPr>
      <w:r>
        <w:rPr>
          <w:rFonts w:ascii="仿宋" w:hAnsi="仿宋"/>
          <w:sz w:val="22"/>
        </w:rPr>
        <w:t>根据业务专家组评审要求，系统内业核查与外业核查的所有问题项明确划分为三等：【严重】、【较重】和【一般】。未在“严重”与“较重”清单中列出的所有问题，一律默认为【一般】。</w:t>
      </w:r>
    </w:p>
    <w:p>
      <w:pPr>
        <w:spacing w:before="160" w:after="80"/>
      </w:pPr>
      <w:r>
        <w:rPr>
          <w:rFonts w:ascii="黑体" w:hAnsi="黑体"/>
          <w:b/>
          <w:color w:val="C00000"/>
          <w:sz w:val="23"/>
        </w:rPr>
        <w:t>3.1 【严重】错误清单（共 35 项，核心程序、资金兜底、方案审批、权属重叠、保密资质重大瑕疵）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C000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黑体" w:hAnsi="黑体"/>
                <w:b/>
                <w:color w:val="FFFFFF"/>
              </w:rPr>
              <w:t>所属大类/环节</w:t>
            </w:r>
          </w:p>
        </w:tc>
        <w:tc>
          <w:tcPr>
            <w:tcW w:type="dxa" w:w="4680"/>
            <w:shd w:fill="C000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黑体" w:hAnsi="黑体"/>
                <w:b/>
                <w:color w:val="FFFFFF"/>
              </w:rPr>
              <w:t>具体【严重】问题表现项</w:t>
            </w:r>
          </w:p>
        </w:tc>
      </w:tr>
      <w:tr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仿宋" w:hAnsi="仿宋"/>
                <w:b/>
              </w:rPr>
              <w:t>机制运行 (8项)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仿宋" w:hAnsi="仿宋"/>
              </w:rPr>
              <w:t>未制定方案、方案未盖章或非红头、直接套用上级方案、制定程序不合法、方案缺少、支付不规范、支付不及时、经费没有县级兜底</w:t>
            </w:r>
          </w:p>
        </w:tc>
      </w:tr>
      <w:tr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  <w:shd w:fill="FCE4D6"/>
          </w:tcPr>
          <w:p>
            <w:pPr>
              <w:jc w:val="center"/>
            </w:pPr>
            <w:r>
              <w:rPr>
                <w:rFonts w:ascii="仿宋" w:hAnsi="仿宋"/>
                <w:b/>
              </w:rPr>
              <w:t>成立机构 (7项)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  <w:shd w:fill="FCE4D6"/>
          </w:tcPr>
          <w:p>
            <w:pPr>
              <w:jc w:val="left"/>
            </w:pPr>
            <w:r>
              <w:rPr>
                <w:rFonts w:ascii="仿宋" w:hAnsi="仿宋"/>
              </w:rPr>
              <w:t>未召开村民会议、未选举产生理事会、未公示理事会名单、公示时间不足3天、参会人数不足法定数量、违规召开村民会议、理事会成员非本集体经济组织</w:t>
            </w:r>
          </w:p>
        </w:tc>
      </w:tr>
      <w:tr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仿宋" w:hAnsi="仿宋"/>
                <w:b/>
              </w:rPr>
              <w:t>摸底核实 (1项)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仿宋" w:hAnsi="仿宋"/>
              </w:rPr>
              <w:t>没有进行摸底（整村未开展摸底调查）</w:t>
            </w:r>
          </w:p>
        </w:tc>
      </w:tr>
      <w:tr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  <w:shd w:fill="FCE4D6"/>
          </w:tcPr>
          <w:p>
            <w:pPr>
              <w:jc w:val="center"/>
            </w:pPr>
            <w:r>
              <w:rPr>
                <w:rFonts w:ascii="仿宋" w:hAnsi="仿宋"/>
                <w:b/>
              </w:rPr>
              <w:t>制定方案 (8项)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  <w:shd w:fill="FCE4D6"/>
          </w:tcPr>
          <w:p>
            <w:pPr>
              <w:jc w:val="left"/>
            </w:pPr>
            <w:r>
              <w:rPr>
                <w:rFonts w:ascii="仿宋" w:hAnsi="仿宋"/>
              </w:rPr>
              <w:t>没有延包方案草案、没有延包方案、延包方案未上报、延包方案未公示、未召开会议讨论延包方案、延包方案上报与通过会议时间顺序不正确、延包方案与工作方案混淆、理事会与工作领导小组混淆</w:t>
            </w:r>
          </w:p>
        </w:tc>
      </w:tr>
      <w:tr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仿宋" w:hAnsi="仿宋"/>
                <w:b/>
              </w:rPr>
              <w:t>调查公示 (2项)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仿宋" w:hAnsi="仿宋"/>
              </w:rPr>
              <w:t>没有公示材料、没有公示或公示不足15天</w:t>
            </w:r>
          </w:p>
        </w:tc>
      </w:tr>
      <w:tr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  <w:shd w:fill="FCE4D6"/>
          </w:tcPr>
          <w:p>
            <w:pPr>
              <w:jc w:val="center"/>
            </w:pPr>
            <w:r>
              <w:rPr>
                <w:rFonts w:ascii="仿宋" w:hAnsi="仿宋"/>
                <w:b/>
              </w:rPr>
              <w:t>签订合同 (3项)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  <w:shd w:fill="FCE4D6"/>
          </w:tcPr>
          <w:p>
            <w:pPr>
              <w:jc w:val="left"/>
            </w:pPr>
            <w:r>
              <w:rPr>
                <w:rFonts w:ascii="仿宋" w:hAnsi="仿宋"/>
              </w:rPr>
              <w:t>合同版本格式不正确、合同网签率未达到95%、没有地块示意图</w:t>
            </w:r>
          </w:p>
        </w:tc>
      </w:tr>
      <w:tr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仿宋" w:hAnsi="仿宋"/>
                <w:b/>
              </w:rPr>
              <w:t>完善证书 (3项)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仿宋" w:hAnsi="仿宋"/>
              </w:rPr>
              <w:t>未进行信息共享、未与不动产登记部门有序衔接、承包地块间重叠、承包地块与宅基地重叠</w:t>
            </w:r>
          </w:p>
        </w:tc>
      </w:tr>
      <w:tr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  <w:shd w:fill="FCE4D6"/>
          </w:tcPr>
          <w:p>
            <w:pPr>
              <w:jc w:val="center"/>
            </w:pPr>
            <w:r>
              <w:rPr>
                <w:rFonts w:ascii="仿宋" w:hAnsi="仿宋"/>
                <w:b/>
              </w:rPr>
              <w:t>资料归档 (3项)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  <w:shd w:fill="FCE4D6"/>
          </w:tcPr>
          <w:p>
            <w:pPr>
              <w:jc w:val="left"/>
            </w:pPr>
            <w:r>
              <w:rPr>
                <w:rFonts w:ascii="仿宋" w:hAnsi="仿宋"/>
              </w:rPr>
              <w:t>档案整理第三方无涉密档案整理资质、没有进行档案验收、档案验收不符合相关标准</w:t>
            </w:r>
          </w:p>
        </w:tc>
      </w:tr>
    </w:tbl>
    <w:p>
      <w:pPr>
        <w:spacing w:before="240" w:after="80"/>
      </w:pPr>
      <w:r>
        <w:rPr>
          <w:rFonts w:ascii="黑体" w:hAnsi="黑体"/>
          <w:b/>
          <w:color w:val="C55A11"/>
          <w:sz w:val="23"/>
        </w:rPr>
        <w:t>3.2 【较重】错误清单（共 16 项，涉及政策界限、特殊群体权益、消亡户处置、矛盾化解机制）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C55A1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黑体" w:hAnsi="黑体"/>
                <w:b/>
                <w:color w:val="FFFFFF"/>
              </w:rPr>
              <w:t>所属大类/环节</w:t>
            </w:r>
          </w:p>
        </w:tc>
        <w:tc>
          <w:tcPr>
            <w:tcW w:type="dxa" w:w="4680"/>
            <w:shd w:fill="C55A1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黑体" w:hAnsi="黑体"/>
                <w:b/>
                <w:color w:val="FFFFFF"/>
              </w:rPr>
              <w:t>具体【较重】问题表现项</w:t>
            </w:r>
          </w:p>
        </w:tc>
      </w:tr>
      <w:tr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仿宋" w:hAnsi="仿宋"/>
                <w:b/>
              </w:rPr>
              <w:t>大稳定小调整 (3项)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仿宋" w:hAnsi="仿宋"/>
              </w:rPr>
              <w:t>打乱重分、违法调整或收回承包地、没有小调整统计资料或说明</w:t>
            </w:r>
          </w:p>
        </w:tc>
      </w:tr>
      <w:tr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  <w:shd w:fill="FFF2CC"/>
          </w:tcPr>
          <w:p>
            <w:pPr>
              <w:jc w:val="center"/>
            </w:pPr>
            <w:r>
              <w:rPr>
                <w:rFonts w:ascii="仿宋" w:hAnsi="仿宋"/>
                <w:b/>
              </w:rPr>
              <w:t>保障权益 (3项)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  <w:shd w:fill="FFF2CC"/>
          </w:tcPr>
          <w:p>
            <w:pPr>
              <w:jc w:val="left"/>
            </w:pPr>
            <w:r>
              <w:rPr>
                <w:rFonts w:ascii="仿宋" w:hAnsi="仿宋"/>
              </w:rPr>
              <w:t>未保障特殊群体权益、未保障无地户权益、没有统计（关注）特殊群体</w:t>
            </w:r>
          </w:p>
        </w:tc>
      </w:tr>
      <w:tr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仿宋" w:hAnsi="仿宋"/>
                <w:b/>
              </w:rPr>
              <w:t>消亡户处置 (5项)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仿宋" w:hAnsi="仿宋"/>
              </w:rPr>
              <w:t>没有应收尽收、采用不正当方式隐匿消亡户、违规处置消亡土地、没有统计消亡户、没有分清实际消亡户和伪消亡户</w:t>
            </w:r>
          </w:p>
        </w:tc>
      </w:tr>
      <w:tr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  <w:shd w:fill="FFF2CC"/>
          </w:tcPr>
          <w:p>
            <w:pPr>
              <w:jc w:val="center"/>
            </w:pPr>
            <w:r>
              <w:rPr>
                <w:rFonts w:ascii="仿宋" w:hAnsi="仿宋"/>
                <w:b/>
              </w:rPr>
              <w:t>加强风险防范 (5项)</w:t>
            </w:r>
          </w:p>
        </w:tc>
        <w:tc>
          <w:tcPr>
            <w:tcW w:type="dxa" w:w="4680"/>
            <w:tcMar>
              <w:top w:w="70" w:type="dxa"/>
              <w:bottom w:w="70" w:type="dxa"/>
              <w:left w:w="120" w:type="dxa"/>
              <w:right w:w="120" w:type="dxa"/>
            </w:tcMar>
            <w:shd w:fill="FFF2CC"/>
          </w:tcPr>
          <w:p>
            <w:pPr>
              <w:jc w:val="left"/>
            </w:pPr>
            <w:r>
              <w:rPr>
                <w:rFonts w:ascii="仿宋" w:hAnsi="仿宋"/>
              </w:rPr>
              <w:t>未建立矛盾纠纷处置机制、未建立舆情处置办法、没有矛盾纠纷处理台账、矛盾纠纷处理台账填写不规范、没有本级处理的矛盾纠纷处理记录</w:t>
            </w:r>
          </w:p>
        </w:tc>
      </w:tr>
    </w:tbl>
    <w:p>
      <w:pPr>
        <w:spacing w:before="240" w:after="80"/>
      </w:pPr>
      <w:r>
        <w:rPr>
          <w:rFonts w:ascii="黑体" w:hAnsi="黑体"/>
          <w:b/>
          <w:color w:val="385723"/>
          <w:sz w:val="23"/>
        </w:rPr>
        <w:t>3.3 【一般】错误清单（未列出的所有其余问题项，默认为一般）</w:t>
      </w:r>
    </w:p>
    <w:p>
      <w:pPr>
        <w:spacing w:line="324" w:lineRule="auto" w:after="160"/>
      </w:pPr>
      <w:r>
        <w:rPr>
          <w:rFonts w:ascii="仿宋" w:hAnsi="仿宋"/>
          <w:sz w:val="21"/>
        </w:rPr>
        <w:t>包括但不限于：宣传材料无效、宣传途径单一；没有培训材料、没有分批次培训、培训材料不齐全、培训未覆盖县乡村组、培训材料无效；摸底表农户未签署、摸底表中没有表达延包意愿、摸底表其它签署不齐全、特殊人员摸底不清、户变化未统计、矛盾纠纷未登记或处理不当、承包地变化未摸清、没有应确尽确、未统计新增耕地/机耕地、未统计补充确权、未说明确权确股、各类资料无封面/签章/时间矛盾；公示结果未确认、各类资料制作粗糙/签署不规范/证明不全；承包地与自然资源要素重叠、缺少登记要件、资料格式不符；档案资料涂改/缺少主体内容/缺少佐证/背考表签署不正确/漏签署/姓名错误；机动地新增耕地处置不当或未统计、从严掌握确权确股手续不全；以及外业核查中发现的地块四至不正确、非本人核实、非本人签名、联系电话不正确等农户级/地块级核验瑕疵。</w:t>
      </w:r>
    </w:p>
    <w:p>
      <w:pPr>
        <w:spacing w:before="320" w:after="120"/>
      </w:pPr>
      <w:r>
        <w:rPr>
          <w:rFonts w:ascii="黑体" w:hAnsi="黑体"/>
          <w:b/>
          <w:color w:val="2E75B6"/>
          <w:sz w:val="28"/>
        </w:rPr>
        <w:t>四、系统设计与实现方案</w:t>
      </w:r>
    </w:p>
    <w:p>
      <w:pPr>
        <w:spacing w:line="312" w:lineRule="auto" w:after="80"/>
      </w:pPr>
      <w:r>
        <w:rPr>
          <w:rFonts w:ascii="黑体" w:hAnsi="黑体"/>
          <w:b/>
          <w:sz w:val="21"/>
        </w:rPr>
        <w:t>• 1. 数据归集层：</w:t>
      </w:r>
      <w:r>
        <w:rPr>
          <w:rFonts w:ascii="仿宋" w:hAnsi="仿宋"/>
          <w:sz w:val="21"/>
        </w:rPr>
        <w:t>在 backend/doc_exporter.py 中实现问题全景穿透抽取：从 neiye_records 读取县级、乡镇级、村级的全部表单记录，从 waiye_samples 读取全部外业标记为 X 的抽查错误记录。</w:t>
      </w:r>
    </w:p>
    <w:p>
      <w:pPr>
        <w:spacing w:line="312" w:lineRule="auto" w:after="80"/>
      </w:pPr>
      <w:r>
        <w:rPr>
          <w:rFonts w:ascii="黑体" w:hAnsi="黑体"/>
          <w:b/>
          <w:sz w:val="21"/>
        </w:rPr>
        <w:t>• 2. 等级计算引擎：</w:t>
      </w:r>
      <w:r>
        <w:rPr>
          <w:rFonts w:ascii="仿宋" w:hAnsi="仿宋"/>
          <w:sz w:val="21"/>
        </w:rPr>
        <w:t>构建 get_issue_severity(issue_text) 高性能匹配算法，按严重 (35项) -&gt; 较重 (16项) -&gt; 一般 (其余默认) 优先级精准输出评定等级。</w:t>
      </w:r>
    </w:p>
    <w:p>
      <w:pPr>
        <w:spacing w:line="312" w:lineRule="auto" w:after="80"/>
      </w:pPr>
      <w:r>
        <w:rPr>
          <w:rFonts w:ascii="黑体" w:hAnsi="黑体"/>
          <w:b/>
          <w:sz w:val="21"/>
        </w:rPr>
        <w:t>• 3. Word 模板填充：</w:t>
      </w:r>
      <w:r>
        <w:rPr>
          <w:rFonts w:ascii="仿宋" w:hAnsi="仿宋"/>
          <w:sz w:val="21"/>
        </w:rPr>
        <w:t>基于 win32com 复制 附件/XX县问题反馈记录表汇总.doc，自适应替换标题，删除示例数据，逐行写入真实问题行，并在第 7 列插入核查佐证照片，设置跨页表头重复。</w:t>
      </w:r>
    </w:p>
    <w:p>
      <w:pPr>
        <w:spacing w:line="312" w:lineRule="auto" w:after="80"/>
      </w:pPr>
      <w:r>
        <w:rPr>
          <w:rFonts w:ascii="黑体" w:hAnsi="黑体"/>
          <w:b/>
          <w:sz w:val="21"/>
        </w:rPr>
        <w:t>• 4. 后端 API 接口：</w:t>
      </w:r>
      <w:r>
        <w:rPr>
          <w:rFonts w:ascii="仿宋" w:hAnsi="仿宋"/>
          <w:sz w:val="21"/>
        </w:rPr>
        <w:t>在 backend/main.py 开放 GET /api/export_county_issue_feedback_summary，支持县级全量直接导出并返回下载地址。</w:t>
      </w:r>
    </w:p>
    <w:p>
      <w:pPr>
        <w:spacing w:line="312" w:lineRule="auto" w:after="80"/>
      </w:pPr>
      <w:r>
        <w:rPr>
          <w:rFonts w:ascii="黑体" w:hAnsi="黑体"/>
          <w:b/>
          <w:sz w:val="21"/>
        </w:rPr>
        <w:t>• 5. 前端交互集成：</w:t>
      </w:r>
      <w:r>
        <w:rPr>
          <w:rFonts w:ascii="仿宋" w:hAnsi="仿宋"/>
          <w:sz w:val="21"/>
        </w:rPr>
        <w:t>在 frontend/src/views/Rectify.vue 自查整改页面新增【导出全县问题反馈记录表汇总】按钮，支持一键点击即时下载。</w:t>
      </w:r>
    </w:p>
    <w:p>
      <w:pPr>
        <w:spacing w:line="312" w:lineRule="auto" w:after="80"/>
      </w:pPr>
      <w:r>
        <w:rPr>
          <w:rFonts w:ascii="黑体" w:hAnsi="黑体"/>
          <w:b/>
          <w:sz w:val="21"/>
        </w:rPr>
        <w:t>• 6. 批量打包归档：</w:t>
      </w:r>
      <w:r>
        <w:rPr>
          <w:rFonts w:ascii="仿宋" w:hAnsi="仿宋"/>
          <w:sz w:val="21"/>
        </w:rPr>
        <w:t>在 backend/batch_exporter.py 全县导出打包流程中，自动在 4.问题整改/ 目录下归档最新的全县问题反馈记录表汇总。</w:t>
      </w:r>
    </w:p>
    <w:p>
      <w:pPr>
        <w:spacing w:before="280" w:after="120"/>
      </w:pPr>
      <w:r>
        <w:rPr>
          <w:rFonts w:ascii="黑体" w:hAnsi="黑体"/>
          <w:b/>
          <w:color w:val="2E75B6"/>
          <w:sz w:val="28"/>
        </w:rPr>
        <w:t>五、验证与验收标准</w:t>
      </w:r>
    </w:p>
    <w:p>
      <w:pPr>
        <w:spacing w:line="312" w:lineRule="auto" w:after="80"/>
      </w:pPr>
      <w:r>
        <w:rPr>
          <w:rFonts w:ascii="仿宋" w:hAnsi="仿宋"/>
          <w:sz w:val="21"/>
        </w:rPr>
        <w:t>1. 文档生成正确性：调用接口成功输出《全椒县问题反馈记录表汇总.doc》，标题与区划自适应匹配当前数据库。</w:t>
      </w:r>
    </w:p>
    <w:p>
      <w:pPr>
        <w:spacing w:line="312" w:lineRule="auto" w:after="80"/>
      </w:pPr>
      <w:r>
        <w:rPr>
          <w:rFonts w:ascii="仿宋" w:hAnsi="仿宋"/>
          <w:sz w:val="21"/>
        </w:rPr>
        <w:t>2. 等级评定精确度：检查 35 项严重错误、16 项较重错误及一般错误评定结果无一偏差。</w:t>
      </w:r>
    </w:p>
    <w:p>
      <w:pPr>
        <w:spacing w:line="312" w:lineRule="auto" w:after="80"/>
      </w:pPr>
      <w:r>
        <w:rPr>
          <w:rFonts w:ascii="仿宋" w:hAnsi="仿宋"/>
          <w:sz w:val="21"/>
        </w:rPr>
        <w:t>3. 佐证图片完整性：内业上传的凭证照片按单元格居中缩放插入第 7 列，版式工整不溢出。</w:t>
      </w:r>
    </w:p>
    <w:p>
      <w:pPr>
        <w:spacing w:line="312" w:lineRule="auto" w:after="80"/>
      </w:pPr>
      <w:r>
        <w:rPr>
          <w:rFonts w:ascii="仿宋" w:hAnsi="仿宋"/>
          <w:sz w:val="21"/>
        </w:rPr>
        <w:t>4. 前端交互流畅性：自查整改页面按钮点击加载、Toast 提示及文件自动下载完整闭环。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