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b/>
        </w:rPr>
        <w:t>Authoritative Guidelines and Policy Documents on Gender-Inclusive Language</w:t>
      </w:r>
    </w:p>
    <w:p>
      <w:pPr>
        <w:jc w:val="center"/>
      </w:pPr>
      <w:r>
        <w:rPr>
          <w:rFonts w:ascii="Noto Sans CJK SC" w:hAnsi="Noto Sans CJK SC"/>
          <w:sz w:val="24"/>
        </w:rPr>
        <w:t>— From International Norms to Research Implications for Gender-Inclusive Rewriting and Overcorrection</w:t>
      </w:r>
    </w:p>
    <w:p>
      <w:pPr>
        <w:jc w:val="center"/>
      </w:pPr>
      <w:r>
        <w:rPr>
          <w:rFonts w:ascii="Noto Sans CJK SC" w:hAnsi="Noto Sans CJK SC"/>
          <w:sz w:val="19"/>
        </w:rPr>
        <w:t>Research Brief | August 2026</w:t>
      </w:r>
    </w:p>
    <w:tbl>
      <w:tblPr>
        <w:tblW w:type="auto" w:w="0"/>
        <w:jc w:val="center"/>
        <w:tblLayout w:type="autofit"/>
        <w:tblLook w:firstColumn="1" w:firstRow="1" w:lastColumn="0" w:lastRow="0" w:noHBand="0" w:noVBand="1" w:val="04A0"/>
      </w:tblPr>
      <w:tblGrid>
        <w:gridCol w:w="9524"/>
      </w:tblGrid>
      <w:tr>
        <w:tc>
          <w:tcPr>
            <w:tcW w:type="dxa" w:w="9524"/>
            <w:shd w:fill="EAF2F8"/>
            <w:tcMar>
              <w:top w:w="150" w:type="dxa"/>
              <w:start w:w="180" w:type="dxa"/>
              <w:bottom w:w="150" w:type="dxa"/>
              <w:end w:w="180" w:type="dxa"/>
            </w:tcMar>
          </w:tcPr>
          <w:p>
            <w:r>
              <w:rPr>
                <w:rFonts w:ascii="Noto Sans CJK SC" w:hAnsi="Noto Sans CJK SC"/>
                <w:b/>
              </w:rPr>
              <w:t>Core point: Authoritative guidance on gender-inclusive language does not aim to mechanically “remove gender.” Its goal is to avoid discrimination and gender stereotyping while preserving accuracy, contextual appropriateness, communicative function, and gender information that is genuinely relevant. For NLP rewriting tasks, this means that a model must first determine whether intervention is warranted, rather than merely learning how to rewrite.</w:t>
            </w:r>
          </w:p>
        </w:tc>
      </w:tr>
    </w:tbl>
    <w:p/>
    <w:p>
      <w:pPr>
        <w:pStyle w:val="Heading1"/>
      </w:pPr>
      <w:r>
        <w:rPr>
          <w:rFonts w:ascii="Noto Sans CJK SC" w:hAnsi="Noto Sans CJK SC"/>
        </w:rPr>
        <w:t>1. Purpose and Research Positioning</w:t>
      </w:r>
    </w:p>
    <w:p>
      <w:r>
        <w:rPr>
          <w:rFonts w:ascii="Noto Sans CJK SC" w:hAnsi="Noto Sans CJK SC"/>
        </w:rPr>
        <w:t>This document summarizes representative guidelines and policy documents on gender-inclusive language, gender-neutral language, and non-sexist language issued by major international organizations and professional bodies. Rather than attempting to catalogue every policy, it focuses on sources that can serve as normative foundations for research in NLP, gender-inclusive generation, selective rewriting, and overcorrection.</w:t>
      </w:r>
    </w:p>
    <w:p>
      <w:r>
        <w:rPr>
          <w:rFonts w:ascii="Noto Sans CJK SC" w:hAnsi="Noto Sans CJK SC"/>
        </w:rPr>
        <w:t>These documents broadly serve three different functions:</w:t>
      </w:r>
    </w:p>
    <w:p>
      <w:pPr>
        <w:pStyle w:val="ListBullet"/>
      </w:pPr>
      <w:r>
        <w:rPr>
          <w:rFonts w:ascii="Noto Sans CJK SC" w:hAnsi="Noto Sans CJK SC"/>
        </w:rPr>
        <w:t>Direct language guidance: advising writers and institutions on how to reduce gender bias, stereotypes, and unnecessary gender marking.</w:t>
      </w:r>
    </w:p>
    <w:p>
      <w:pPr>
        <w:pStyle w:val="ListBullet"/>
      </w:pPr>
      <w:r>
        <w:rPr>
          <w:rFonts w:ascii="Noto Sans CJK SC" w:hAnsi="Noto Sans CJK SC"/>
        </w:rPr>
        <w:t>Institutional and rights-based foundations: explaining why eliminating gender discrimination and stereotyped roles is grounded in public policy and human rights.</w:t>
      </w:r>
    </w:p>
    <w:p>
      <w:pPr>
        <w:pStyle w:val="ListBullet"/>
      </w:pPr>
      <w:r>
        <w:rPr>
          <w:rFonts w:ascii="Noto Sans CJK SC" w:hAnsi="Noto Sans CJK SC"/>
        </w:rPr>
        <w:t>Accuracy and professional communication principles: emphasizing that inclusive expression must still preserve factual accuracy, clarity, respect, and contextual appropriateness.</w:t>
      </w:r>
    </w:p>
    <w:p>
      <w:pPr>
        <w:pStyle w:val="Heading1"/>
      </w:pPr>
      <w:r>
        <w:rPr>
          <w:rFonts w:ascii="Noto Sans CJK SC" w:hAnsi="Noto Sans CJK SC"/>
        </w:rPr>
        <w:t>2. Overview of Core Authoritative Documents</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tblHeader/>
          <w:cantSplit/>
        </w:trPr>
        <w:tc>
          <w:tcPr>
            <w:tcW w:type="dxa" w:w="1474"/>
            <w:shd w:fill="D9EAF7"/>
            <w:vAlign w:val="center"/>
          </w:tcPr>
          <w:p>
            <w:r>
              <w:rPr>
                <w:rFonts w:ascii="Noto Sans CJK SC" w:hAnsi="Noto Sans CJK SC"/>
                <w:b/>
                <w:sz w:val="18"/>
              </w:rPr>
              <w:t>Institution</w:t>
            </w:r>
          </w:p>
        </w:tc>
        <w:tc>
          <w:tcPr>
            <w:tcW w:type="dxa" w:w="2948"/>
            <w:shd w:fill="D9EAF7"/>
            <w:vAlign w:val="center"/>
          </w:tcPr>
          <w:p>
            <w:r>
              <w:rPr>
                <w:rFonts w:ascii="Noto Sans CJK SC" w:hAnsi="Noto Sans CJK SC"/>
                <w:b/>
                <w:sz w:val="18"/>
              </w:rPr>
              <w:t>Document</w:t>
            </w:r>
          </w:p>
        </w:tc>
        <w:tc>
          <w:tcPr>
            <w:tcW w:type="dxa" w:w="1474"/>
            <w:shd w:fill="D9EAF7"/>
            <w:vAlign w:val="center"/>
          </w:tcPr>
          <w:p>
            <w:r>
              <w:rPr>
                <w:rFonts w:ascii="Noto Sans CJK SC" w:hAnsi="Noto Sans CJK SC"/>
                <w:b/>
                <w:sz w:val="18"/>
              </w:rPr>
              <w:t>Role</w:t>
            </w:r>
          </w:p>
        </w:tc>
        <w:tc>
          <w:tcPr>
            <w:tcW w:type="dxa" w:w="964"/>
            <w:shd w:fill="D9EAF7"/>
            <w:vAlign w:val="center"/>
          </w:tcPr>
          <w:p>
            <w:r>
              <w:rPr>
                <w:rFonts w:ascii="Noto Sans CJK SC" w:hAnsi="Noto Sans CJK SC"/>
                <w:b/>
                <w:sz w:val="18"/>
              </w:rPr>
              <w:t>Research Value</w:t>
            </w:r>
          </w:p>
        </w:tc>
        <w:tc>
          <w:tcPr>
            <w:tcW w:type="dxa" w:w="3231"/>
            <w:shd w:fill="D9EAF7"/>
            <w:vAlign w:val="center"/>
          </w:tcPr>
          <w:p>
            <w:r>
              <w:rPr>
                <w:rFonts w:ascii="Noto Sans CJK SC" w:hAnsi="Noto Sans CJK SC"/>
                <w:b/>
                <w:sz w:val="18"/>
              </w:rPr>
              <w:t>Relevance to NLP Research</w:t>
            </w:r>
          </w:p>
        </w:tc>
      </w:tr>
      <w:tr>
        <w:trPr>
          <w:cantSplit/>
        </w:trPr>
        <w:tc>
          <w:tcPr>
            <w:tcW w:type="dxa" w:w="1474"/>
            <w:vAlign w:val="center"/>
            <w:tcMar>
              <w:top w:w="70" w:type="dxa"/>
              <w:start w:w="70" w:type="dxa"/>
              <w:bottom w:w="70" w:type="dxa"/>
              <w:end w:w="70" w:type="dxa"/>
            </w:tcMar>
          </w:tcPr>
          <w:p>
            <w:r>
              <w:rPr>
                <w:rFonts w:ascii="Noto Sans CJK SC" w:hAnsi="Noto Sans CJK SC"/>
                <w:sz w:val="17"/>
              </w:rPr>
              <w:t>United Nations</w:t>
            </w:r>
          </w:p>
        </w:tc>
        <w:tc>
          <w:tcPr>
            <w:tcW w:type="dxa" w:w="2948"/>
            <w:vAlign w:val="center"/>
            <w:tcMar>
              <w:top w:w="70" w:type="dxa"/>
              <w:start w:w="70" w:type="dxa"/>
              <w:bottom w:w="70" w:type="dxa"/>
              <w:end w:w="70" w:type="dxa"/>
            </w:tcMar>
          </w:tcPr>
          <w:p>
            <w:r>
              <w:rPr>
                <w:rFonts w:ascii="Noto Sans CJK SC" w:hAnsi="Noto Sans CJK SC"/>
                <w:sz w:val="17"/>
              </w:rPr>
              <w:t>Chinese Guidelines for Gender-Inclusive Language / Guidelines for Gender-Inclusive Language</w:t>
            </w:r>
          </w:p>
        </w:tc>
        <w:tc>
          <w:tcPr>
            <w:tcW w:type="dxa" w:w="1474"/>
            <w:vAlign w:val="center"/>
            <w:tcMar>
              <w:top w:w="70" w:type="dxa"/>
              <w:start w:w="70" w:type="dxa"/>
              <w:bottom w:w="70" w:type="dxa"/>
              <w:end w:w="70" w:type="dxa"/>
            </w:tcMar>
          </w:tcPr>
          <w:p>
            <w:r>
              <w:rPr>
                <w:rFonts w:ascii="Noto Sans CJK SC" w:hAnsi="Noto Sans CJK SC"/>
                <w:sz w:val="17"/>
              </w:rPr>
              <w:t>Direct language guidance</w:t>
            </w:r>
          </w:p>
        </w:tc>
        <w:tc>
          <w:tcPr>
            <w:tcW w:type="dxa" w:w="964"/>
            <w:vAlign w:val="center"/>
            <w:tcMar>
              <w:top w:w="70" w:type="dxa"/>
              <w:start w:w="70" w:type="dxa"/>
              <w:bottom w:w="70" w:type="dxa"/>
              <w:end w:w="70" w:type="dxa"/>
            </w:tcMar>
          </w:tcPr>
          <w:p>
            <w:r>
              <w:rPr>
                <w:rFonts w:ascii="Noto Sans CJK SC" w:hAnsi="Noto Sans CJK SC"/>
                <w:sz w:val="17"/>
              </w:rPr>
              <w:t>★★★★★</w:t>
            </w:r>
          </w:p>
        </w:tc>
        <w:tc>
          <w:tcPr>
            <w:tcW w:type="dxa" w:w="3231"/>
            <w:vAlign w:val="center"/>
            <w:tcMar>
              <w:top w:w="70" w:type="dxa"/>
              <w:start w:w="70" w:type="dxa"/>
              <w:bottom w:w="70" w:type="dxa"/>
              <w:end w:w="70" w:type="dxa"/>
            </w:tcMar>
          </w:tcPr>
          <w:p>
            <w:r>
              <w:rPr>
                <w:rFonts w:ascii="Noto Sans CJK SC" w:hAnsi="Noto Sans CJK SC"/>
                <w:sz w:val="17"/>
              </w:rPr>
              <w:t>The most direct source for Chinese; emphasizes language-specific characteristics and tailored strategies across the six official UN languages.</w:t>
            </w:r>
          </w:p>
        </w:tc>
      </w:tr>
      <w:tr>
        <w:trPr>
          <w:cantSplit/>
        </w:trPr>
        <w:tc>
          <w:tcPr>
            <w:tcW w:type="dxa" w:w="1474"/>
            <w:vAlign w:val="center"/>
            <w:tcMar>
              <w:top w:w="70" w:type="dxa"/>
              <w:start w:w="70" w:type="dxa"/>
              <w:bottom w:w="70" w:type="dxa"/>
              <w:end w:w="70" w:type="dxa"/>
            </w:tcMar>
          </w:tcPr>
          <w:p>
            <w:r>
              <w:rPr>
                <w:rFonts w:ascii="Noto Sans CJK SC" w:hAnsi="Noto Sans CJK SC"/>
                <w:sz w:val="17"/>
              </w:rPr>
              <w:t>European Parliament</w:t>
            </w:r>
          </w:p>
        </w:tc>
        <w:tc>
          <w:tcPr>
            <w:tcW w:type="dxa" w:w="2948"/>
            <w:vAlign w:val="center"/>
            <w:tcMar>
              <w:top w:w="70" w:type="dxa"/>
              <w:start w:w="70" w:type="dxa"/>
              <w:bottom w:w="70" w:type="dxa"/>
              <w:end w:w="70" w:type="dxa"/>
            </w:tcMar>
          </w:tcPr>
          <w:p>
            <w:r>
              <w:rPr>
                <w:rFonts w:ascii="Noto Sans CJK SC" w:hAnsi="Noto Sans CJK SC"/>
                <w:sz w:val="17"/>
              </w:rPr>
              <w:t>Gender-Neutral Language in the European Parliament</w:t>
            </w:r>
          </w:p>
        </w:tc>
        <w:tc>
          <w:tcPr>
            <w:tcW w:type="dxa" w:w="1474"/>
            <w:vAlign w:val="center"/>
            <w:tcMar>
              <w:top w:w="70" w:type="dxa"/>
              <w:start w:w="70" w:type="dxa"/>
              <w:bottom w:w="70" w:type="dxa"/>
              <w:end w:w="70" w:type="dxa"/>
            </w:tcMar>
          </w:tcPr>
          <w:p>
            <w:r>
              <w:rPr>
                <w:rFonts w:ascii="Noto Sans CJK SC" w:hAnsi="Noto Sans CJK SC"/>
                <w:sz w:val="17"/>
              </w:rPr>
              <w:t>Direct language guidance</w:t>
            </w:r>
          </w:p>
        </w:tc>
        <w:tc>
          <w:tcPr>
            <w:tcW w:type="dxa" w:w="964"/>
            <w:vAlign w:val="center"/>
            <w:tcMar>
              <w:top w:w="70" w:type="dxa"/>
              <w:start w:w="70" w:type="dxa"/>
              <w:bottom w:w="70" w:type="dxa"/>
              <w:end w:w="70" w:type="dxa"/>
            </w:tcMar>
          </w:tcPr>
          <w:p>
            <w:r>
              <w:rPr>
                <w:rFonts w:ascii="Noto Sans CJK SC" w:hAnsi="Noto Sans CJK SC"/>
                <w:sz w:val="17"/>
              </w:rPr>
              <w:t>★★★★★</w:t>
            </w:r>
          </w:p>
        </w:tc>
        <w:tc>
          <w:tcPr>
            <w:tcW w:type="dxa" w:w="3231"/>
            <w:vAlign w:val="center"/>
            <w:tcMar>
              <w:top w:w="70" w:type="dxa"/>
              <w:start w:w="70" w:type="dxa"/>
              <w:bottom w:w="70" w:type="dxa"/>
              <w:end w:w="70" w:type="dxa"/>
            </w:tcMar>
          </w:tcPr>
          <w:p>
            <w:r>
              <w:rPr>
                <w:rFonts w:ascii="Noto Sans CJK SC" w:hAnsi="Noto Sans CJK SC"/>
                <w:sz w:val="17"/>
              </w:rPr>
              <w:t>Multilingual and institutional; emphasizes that gender-neutral language depends on the linguistic system and communicative context.</w:t>
            </w:r>
          </w:p>
        </w:tc>
      </w:tr>
      <w:tr>
        <w:trPr>
          <w:cantSplit/>
        </w:trPr>
        <w:tc>
          <w:tcPr>
            <w:tcW w:type="dxa" w:w="1474"/>
            <w:vAlign w:val="center"/>
            <w:tcMar>
              <w:top w:w="70" w:type="dxa"/>
              <w:start w:w="70" w:type="dxa"/>
              <w:bottom w:w="70" w:type="dxa"/>
              <w:end w:w="70" w:type="dxa"/>
            </w:tcMar>
          </w:tcPr>
          <w:p>
            <w:r>
              <w:rPr>
                <w:rFonts w:ascii="Noto Sans CJK SC" w:hAnsi="Noto Sans CJK SC"/>
                <w:sz w:val="17"/>
              </w:rPr>
              <w:t>Council of Europe</w:t>
            </w:r>
          </w:p>
        </w:tc>
        <w:tc>
          <w:tcPr>
            <w:tcW w:type="dxa" w:w="2948"/>
            <w:vAlign w:val="center"/>
            <w:tcMar>
              <w:top w:w="70" w:type="dxa"/>
              <w:start w:w="70" w:type="dxa"/>
              <w:bottom w:w="70" w:type="dxa"/>
              <w:end w:w="70" w:type="dxa"/>
            </w:tcMar>
          </w:tcPr>
          <w:p>
            <w:r>
              <w:rPr>
                <w:rFonts w:ascii="Noto Sans CJK SC" w:hAnsi="Noto Sans CJK SC"/>
                <w:sz w:val="17"/>
              </w:rPr>
              <w:t>Recommendation No. R (90) 4 on the Elimination of Sexism from Language</w:t>
            </w:r>
          </w:p>
        </w:tc>
        <w:tc>
          <w:tcPr>
            <w:tcW w:type="dxa" w:w="1474"/>
            <w:vAlign w:val="center"/>
            <w:tcMar>
              <w:top w:w="70" w:type="dxa"/>
              <w:start w:w="70" w:type="dxa"/>
              <w:bottom w:w="70" w:type="dxa"/>
              <w:end w:w="70" w:type="dxa"/>
            </w:tcMar>
          </w:tcPr>
          <w:p>
            <w:r>
              <w:rPr>
                <w:rFonts w:ascii="Noto Sans CJK SC" w:hAnsi="Noto Sans CJK SC"/>
                <w:sz w:val="17"/>
              </w:rPr>
              <w:t>Institutional + language guidance</w:t>
            </w:r>
          </w:p>
        </w:tc>
        <w:tc>
          <w:tcPr>
            <w:tcW w:type="dxa" w:w="964"/>
            <w:vAlign w:val="center"/>
            <w:tcMar>
              <w:top w:w="70" w:type="dxa"/>
              <w:start w:w="70" w:type="dxa"/>
              <w:bottom w:w="70" w:type="dxa"/>
              <w:end w:w="70" w:type="dxa"/>
            </w:tcMar>
          </w:tcPr>
          <w:p>
            <w:r>
              <w:rPr>
                <w:rFonts w:ascii="Noto Sans CJK SC" w:hAnsi="Noto Sans CJK SC"/>
                <w:sz w:val="17"/>
              </w:rPr>
              <w:t>★★★★☆</w:t>
            </w:r>
          </w:p>
        </w:tc>
        <w:tc>
          <w:tcPr>
            <w:tcW w:type="dxa" w:w="3231"/>
            <w:vAlign w:val="center"/>
            <w:tcMar>
              <w:top w:w="70" w:type="dxa"/>
              <w:start w:w="70" w:type="dxa"/>
              <w:bottom w:w="70" w:type="dxa"/>
              <w:end w:w="70" w:type="dxa"/>
            </w:tcMar>
          </w:tcPr>
          <w:p>
            <w:r>
              <w:rPr>
                <w:rFonts w:ascii="Noto Sans CJK SC" w:hAnsi="Noto Sans CJK SC"/>
                <w:sz w:val="17"/>
              </w:rPr>
              <w:t>A formal Committee of Ministers recommendation; explicitly recognizes that each language should identify solutions appropriate to its own linguistic system.</w:t>
            </w:r>
          </w:p>
        </w:tc>
      </w:tr>
      <w:tr>
        <w:trPr>
          <w:cantSplit/>
        </w:trPr>
        <w:tc>
          <w:tcPr>
            <w:tcW w:type="dxa" w:w="1474"/>
            <w:vAlign w:val="center"/>
            <w:tcMar>
              <w:top w:w="70" w:type="dxa"/>
              <w:start w:w="70" w:type="dxa"/>
              <w:bottom w:w="70" w:type="dxa"/>
              <w:end w:w="70" w:type="dxa"/>
            </w:tcMar>
          </w:tcPr>
          <w:p>
            <w:r>
              <w:rPr>
                <w:rFonts w:ascii="Noto Sans CJK SC" w:hAnsi="Noto Sans CJK SC"/>
                <w:sz w:val="17"/>
              </w:rPr>
              <w:t>UNESCO</w:t>
            </w:r>
          </w:p>
        </w:tc>
        <w:tc>
          <w:tcPr>
            <w:tcW w:type="dxa" w:w="2948"/>
            <w:vAlign w:val="center"/>
            <w:tcMar>
              <w:top w:w="70" w:type="dxa"/>
              <w:start w:w="70" w:type="dxa"/>
              <w:bottom w:w="70" w:type="dxa"/>
              <w:end w:w="70" w:type="dxa"/>
            </w:tcMar>
          </w:tcPr>
          <w:p>
            <w:r>
              <w:rPr>
                <w:rFonts w:ascii="Noto Sans CJK SC" w:hAnsi="Noto Sans CJK SC"/>
                <w:sz w:val="17"/>
              </w:rPr>
              <w:t>Guidelines on Gender-Neutral Language</w:t>
            </w:r>
          </w:p>
        </w:tc>
        <w:tc>
          <w:tcPr>
            <w:tcW w:type="dxa" w:w="1474"/>
            <w:vAlign w:val="center"/>
            <w:tcMar>
              <w:top w:w="70" w:type="dxa"/>
              <w:start w:w="70" w:type="dxa"/>
              <w:bottom w:w="70" w:type="dxa"/>
              <w:end w:w="70" w:type="dxa"/>
            </w:tcMar>
          </w:tcPr>
          <w:p>
            <w:r>
              <w:rPr>
                <w:rFonts w:ascii="Noto Sans CJK SC" w:hAnsi="Noto Sans CJK SC"/>
                <w:sz w:val="17"/>
              </w:rPr>
              <w:t>Direct language guidance</w:t>
            </w:r>
          </w:p>
        </w:tc>
        <w:tc>
          <w:tcPr>
            <w:tcW w:type="dxa" w:w="964"/>
            <w:vAlign w:val="center"/>
            <w:tcMar>
              <w:top w:w="70" w:type="dxa"/>
              <w:start w:w="70" w:type="dxa"/>
              <w:bottom w:w="70" w:type="dxa"/>
              <w:end w:w="70" w:type="dxa"/>
            </w:tcMar>
          </w:tcPr>
          <w:p>
            <w:r>
              <w:rPr>
                <w:rFonts w:ascii="Noto Sans CJK SC" w:hAnsi="Noto Sans CJK SC"/>
                <w:sz w:val="17"/>
              </w:rPr>
              <w:t>★★★★☆</w:t>
            </w:r>
          </w:p>
        </w:tc>
        <w:tc>
          <w:tcPr>
            <w:tcW w:type="dxa" w:w="3231"/>
            <w:vAlign w:val="center"/>
            <w:tcMar>
              <w:top w:w="70" w:type="dxa"/>
              <w:start w:w="70" w:type="dxa"/>
              <w:bottom w:w="70" w:type="dxa"/>
              <w:end w:w="70" w:type="dxa"/>
            </w:tcMar>
          </w:tcPr>
          <w:p>
            <w:r>
              <w:rPr>
                <w:rFonts w:ascii="Noto Sans CJK SC" w:hAnsi="Noto Sans CJK SC"/>
                <w:sz w:val="17"/>
              </w:rPr>
              <w:t>A classic international source supporting the reduction of sexist terminology and the use of gender-neutral wording.</w:t>
            </w:r>
          </w:p>
        </w:tc>
      </w:tr>
      <w:tr>
        <w:trPr>
          <w:cantSplit/>
        </w:trPr>
        <w:tc>
          <w:tcPr>
            <w:tcW w:type="dxa" w:w="1474"/>
            <w:vAlign w:val="center"/>
            <w:tcMar>
              <w:top w:w="70" w:type="dxa"/>
              <w:start w:w="70" w:type="dxa"/>
              <w:bottom w:w="70" w:type="dxa"/>
              <w:end w:w="70" w:type="dxa"/>
            </w:tcMar>
          </w:tcPr>
          <w:p>
            <w:r>
              <w:rPr>
                <w:rFonts w:ascii="Noto Sans CJK SC" w:hAnsi="Noto Sans CJK SC"/>
                <w:sz w:val="17"/>
              </w:rPr>
              <w:t>American Psychological Association</w:t>
            </w:r>
          </w:p>
        </w:tc>
        <w:tc>
          <w:tcPr>
            <w:tcW w:type="dxa" w:w="2948"/>
            <w:vAlign w:val="center"/>
            <w:tcMar>
              <w:top w:w="70" w:type="dxa"/>
              <w:start w:w="70" w:type="dxa"/>
              <w:bottom w:w="70" w:type="dxa"/>
              <w:end w:w="70" w:type="dxa"/>
            </w:tcMar>
          </w:tcPr>
          <w:p>
            <w:r>
              <w:rPr>
                <w:rFonts w:ascii="Noto Sans CJK SC" w:hAnsi="Noto Sans CJK SC"/>
                <w:sz w:val="17"/>
              </w:rPr>
              <w:t>Bias-Free Language Guidelines: Gender</w:t>
            </w:r>
          </w:p>
        </w:tc>
        <w:tc>
          <w:tcPr>
            <w:tcW w:type="dxa" w:w="1474"/>
            <w:vAlign w:val="center"/>
            <w:tcMar>
              <w:top w:w="70" w:type="dxa"/>
              <w:start w:w="70" w:type="dxa"/>
              <w:bottom w:w="70" w:type="dxa"/>
              <w:end w:w="70" w:type="dxa"/>
            </w:tcMar>
          </w:tcPr>
          <w:p>
            <w:r>
              <w:rPr>
                <w:rFonts w:ascii="Noto Sans CJK SC" w:hAnsi="Noto Sans CJK SC"/>
                <w:sz w:val="17"/>
              </w:rPr>
              <w:t>Professional writing guidance</w:t>
            </w:r>
          </w:p>
        </w:tc>
        <w:tc>
          <w:tcPr>
            <w:tcW w:type="dxa" w:w="964"/>
            <w:vAlign w:val="center"/>
            <w:tcMar>
              <w:top w:w="70" w:type="dxa"/>
              <w:start w:w="70" w:type="dxa"/>
              <w:bottom w:w="70" w:type="dxa"/>
              <w:end w:w="70" w:type="dxa"/>
            </w:tcMar>
          </w:tcPr>
          <w:p>
            <w:r>
              <w:rPr>
                <w:rFonts w:ascii="Noto Sans CJK SC" w:hAnsi="Noto Sans CJK SC"/>
                <w:sz w:val="17"/>
              </w:rPr>
              <w:t>★★★★☆</w:t>
            </w:r>
          </w:p>
        </w:tc>
        <w:tc>
          <w:tcPr>
            <w:tcW w:type="dxa" w:w="3231"/>
            <w:vAlign w:val="center"/>
            <w:tcMar>
              <w:top w:w="70" w:type="dxa"/>
              <w:start w:w="70" w:type="dxa"/>
              <w:bottom w:w="70" w:type="dxa"/>
              <w:end w:w="70" w:type="dxa"/>
            </w:tcMar>
          </w:tcPr>
          <w:p>
            <w:r>
              <w:rPr>
                <w:rFonts w:ascii="Noto Sans CJK SC" w:hAnsi="Noto Sans CJK SC"/>
                <w:sz w:val="17"/>
              </w:rPr>
              <w:t>Emphasizes accurate, clear, respectful, and bias-free language; especially useful for fidelity and accuracy principles.</w:t>
            </w:r>
          </w:p>
        </w:tc>
      </w:tr>
      <w:tr>
        <w:trPr>
          <w:cantSplit/>
        </w:trPr>
        <w:tc>
          <w:tcPr>
            <w:tcW w:type="dxa" w:w="1474"/>
            <w:vAlign w:val="center"/>
            <w:tcMar>
              <w:top w:w="70" w:type="dxa"/>
              <w:start w:w="70" w:type="dxa"/>
              <w:bottom w:w="70" w:type="dxa"/>
              <w:end w:w="70" w:type="dxa"/>
            </w:tcMar>
          </w:tcPr>
          <w:p>
            <w:r>
              <w:rPr>
                <w:rFonts w:ascii="Noto Sans CJK SC" w:hAnsi="Noto Sans CJK SC"/>
                <w:sz w:val="17"/>
              </w:rPr>
              <w:t>United Nations / OHCHR</w:t>
            </w:r>
          </w:p>
        </w:tc>
        <w:tc>
          <w:tcPr>
            <w:tcW w:type="dxa" w:w="2948"/>
            <w:vAlign w:val="center"/>
            <w:tcMar>
              <w:top w:w="70" w:type="dxa"/>
              <w:start w:w="70" w:type="dxa"/>
              <w:bottom w:w="70" w:type="dxa"/>
              <w:end w:w="70" w:type="dxa"/>
            </w:tcMar>
          </w:tcPr>
          <w:p>
            <w:r>
              <w:rPr>
                <w:rFonts w:ascii="Noto Sans CJK SC" w:hAnsi="Noto Sans CJK SC"/>
                <w:sz w:val="17"/>
              </w:rPr>
              <w:t>Convention on the Elimination of All Forms of Discrimination against Women (CEDAW)</w:t>
            </w:r>
          </w:p>
        </w:tc>
        <w:tc>
          <w:tcPr>
            <w:tcW w:type="dxa" w:w="1474"/>
            <w:vAlign w:val="center"/>
            <w:tcMar>
              <w:top w:w="70" w:type="dxa"/>
              <w:start w:w="70" w:type="dxa"/>
              <w:bottom w:w="70" w:type="dxa"/>
              <w:end w:w="70" w:type="dxa"/>
            </w:tcMar>
          </w:tcPr>
          <w:p>
            <w:r>
              <w:rPr>
                <w:rFonts w:ascii="Noto Sans CJK SC" w:hAnsi="Noto Sans CJK SC"/>
                <w:sz w:val="17"/>
              </w:rPr>
              <w:t>Rights and institutional foundation</w:t>
            </w:r>
          </w:p>
        </w:tc>
        <w:tc>
          <w:tcPr>
            <w:tcW w:type="dxa" w:w="964"/>
            <w:vAlign w:val="center"/>
            <w:tcMar>
              <w:top w:w="70" w:type="dxa"/>
              <w:start w:w="70" w:type="dxa"/>
              <w:bottom w:w="70" w:type="dxa"/>
              <w:end w:w="70" w:type="dxa"/>
            </w:tcMar>
          </w:tcPr>
          <w:p>
            <w:r>
              <w:rPr>
                <w:rFonts w:ascii="Noto Sans CJK SC" w:hAnsi="Noto Sans CJK SC"/>
                <w:sz w:val="17"/>
              </w:rPr>
              <w:t>★★★★☆</w:t>
            </w:r>
          </w:p>
        </w:tc>
        <w:tc>
          <w:tcPr>
            <w:tcW w:type="dxa" w:w="3231"/>
            <w:vAlign w:val="center"/>
            <w:tcMar>
              <w:top w:w="70" w:type="dxa"/>
              <w:start w:w="70" w:type="dxa"/>
              <w:bottom w:w="70" w:type="dxa"/>
              <w:end w:w="70" w:type="dxa"/>
            </w:tcMar>
          </w:tcPr>
          <w:p>
            <w:r>
              <w:rPr>
                <w:rFonts w:ascii="Noto Sans CJK SC" w:hAnsi="Noto Sans CJK SC"/>
                <w:sz w:val="17"/>
              </w:rPr>
              <w:t>Provides a normative basis for eliminating gender discrimination and sociocultural stereotypes.</w:t>
            </w:r>
          </w:p>
        </w:tc>
      </w:tr>
      <w:tr>
        <w:trPr>
          <w:cantSplit/>
        </w:trPr>
        <w:tc>
          <w:tcPr>
            <w:tcW w:type="dxa" w:w="1474"/>
            <w:vAlign w:val="center"/>
            <w:tcMar>
              <w:top w:w="70" w:type="dxa"/>
              <w:start w:w="70" w:type="dxa"/>
              <w:bottom w:w="70" w:type="dxa"/>
              <w:end w:w="70" w:type="dxa"/>
            </w:tcMar>
          </w:tcPr>
          <w:p>
            <w:r>
              <w:rPr>
                <w:rFonts w:ascii="Noto Sans CJK SC" w:hAnsi="Noto Sans CJK SC"/>
                <w:sz w:val="17"/>
              </w:rPr>
              <w:t>United Nations / UN Women</w:t>
            </w:r>
          </w:p>
        </w:tc>
        <w:tc>
          <w:tcPr>
            <w:tcW w:type="dxa" w:w="2948"/>
            <w:vAlign w:val="center"/>
            <w:tcMar>
              <w:top w:w="70" w:type="dxa"/>
              <w:start w:w="70" w:type="dxa"/>
              <w:bottom w:w="70" w:type="dxa"/>
              <w:end w:w="70" w:type="dxa"/>
            </w:tcMar>
          </w:tcPr>
          <w:p>
            <w:r>
              <w:rPr>
                <w:rFonts w:ascii="Noto Sans CJK SC" w:hAnsi="Noto Sans CJK SC"/>
                <w:sz w:val="17"/>
              </w:rPr>
              <w:t>Beijing Declaration and Platform for Action (1995)</w:t>
            </w:r>
          </w:p>
        </w:tc>
        <w:tc>
          <w:tcPr>
            <w:tcW w:type="dxa" w:w="1474"/>
            <w:vAlign w:val="center"/>
            <w:tcMar>
              <w:top w:w="70" w:type="dxa"/>
              <w:start w:w="70" w:type="dxa"/>
              <w:bottom w:w="70" w:type="dxa"/>
              <w:end w:w="70" w:type="dxa"/>
            </w:tcMar>
          </w:tcPr>
          <w:p>
            <w:r>
              <w:rPr>
                <w:rFonts w:ascii="Noto Sans CJK SC" w:hAnsi="Noto Sans CJK SC"/>
                <w:sz w:val="17"/>
              </w:rPr>
              <w:t>Policy and institutional foundation</w:t>
            </w:r>
          </w:p>
        </w:tc>
        <w:tc>
          <w:tcPr>
            <w:tcW w:type="dxa" w:w="964"/>
            <w:vAlign w:val="center"/>
            <w:tcMar>
              <w:top w:w="70" w:type="dxa"/>
              <w:start w:w="70" w:type="dxa"/>
              <w:bottom w:w="70" w:type="dxa"/>
              <w:end w:w="70" w:type="dxa"/>
            </w:tcMar>
          </w:tcPr>
          <w:p>
            <w:r>
              <w:rPr>
                <w:rFonts w:ascii="Noto Sans CJK SC" w:hAnsi="Noto Sans CJK SC"/>
                <w:sz w:val="17"/>
              </w:rPr>
              <w:t>★★★★☆</w:t>
            </w:r>
          </w:p>
        </w:tc>
        <w:tc>
          <w:tcPr>
            <w:tcW w:type="dxa" w:w="3231"/>
            <w:vAlign w:val="center"/>
            <w:tcMar>
              <w:top w:w="70" w:type="dxa"/>
              <w:start w:w="70" w:type="dxa"/>
              <w:bottom w:w="70" w:type="dxa"/>
              <w:end w:w="70" w:type="dxa"/>
            </w:tcMar>
          </w:tcPr>
          <w:p>
            <w:r>
              <w:rPr>
                <w:rFonts w:ascii="Noto Sans CJK SC" w:hAnsi="Noto Sans CJK SC"/>
                <w:sz w:val="17"/>
              </w:rPr>
              <w:t>A major global gender-equality framework providing broader policy context for anti-stereotyping and gender equality.</w:t>
            </w:r>
          </w:p>
        </w:tc>
      </w:tr>
    </w:tbl>
    <w:p/>
    <w:p>
      <w:pPr>
        <w:pStyle w:val="Heading1"/>
      </w:pPr>
      <w:r>
        <w:rPr>
          <w:rFonts w:ascii="Noto Sans CJK SC" w:hAnsi="Noto Sans CJK SC"/>
        </w:rPr>
        <w:t>3. Key Documents and Their Core Principles</w:t>
      </w:r>
    </w:p>
    <w:p>
      <w:pPr>
        <w:pStyle w:val="Heading2"/>
      </w:pPr>
      <w:r>
        <w:rPr>
          <w:rFonts w:ascii="Noto Sans CJK SC" w:hAnsi="Noto Sans CJK SC"/>
        </w:rPr>
        <w:t>3.1 United Nations — Chinese Guidelines for Gender-Inclusive Language</w:t>
      </w:r>
    </w:p>
    <w:p>
      <w:r>
        <w:rPr>
          <w:rFonts w:ascii="Noto Sans CJK SC" w:hAnsi="Noto Sans CJK SC"/>
        </w:rPr>
        <w:t>For research on gender-inclusive language in Chinese, the United Nations guidelines are among the most direct international normative sources. The UN defines gender-inclusive language as spoken and written language that does not discriminate against a particular sex, social gender, or gender identity and does not perpetuate gender stereotypes. The initiative covers all six official UN languages and explicitly recognizes that each language has its own characteristics and therefore requires strategies adapted to its specific linguistic context.</w:t>
      </w:r>
    </w:p>
    <w:p>
      <w:r>
        <w:rPr>
          <w:rFonts w:ascii="Noto Sans CJK SC" w:hAnsi="Noto Sans CJK SC"/>
        </w:rPr>
        <w:t>Research implications:</w:t>
      </w:r>
    </w:p>
    <w:p>
      <w:pPr>
        <w:pStyle w:val="ListBullet"/>
      </w:pPr>
      <w:r>
        <w:rPr>
          <w:rFonts w:ascii="Noto Sans CJK SC" w:hAnsi="Noto Sans CJK SC"/>
        </w:rPr>
        <w:t>They provide a direct normative basis for Chinese rather than mechanically transferring English gender-neutral strategies into Chinese.</w:t>
      </w:r>
    </w:p>
    <w:p>
      <w:pPr>
        <w:pStyle w:val="ListBullet"/>
      </w:pPr>
      <w:r>
        <w:rPr>
          <w:rFonts w:ascii="Noto Sans CJK SC" w:hAnsi="Noto Sans CJK SC"/>
        </w:rPr>
        <w:t>They support the idea of language-specific intervention: inclusive strategies should take account of Chinese reference systems, pragmatics, and conventional patterns of expression.</w:t>
      </w:r>
    </w:p>
    <w:p>
      <w:pPr>
        <w:pStyle w:val="ListBullet"/>
      </w:pPr>
      <w:r>
        <w:rPr>
          <w:rFonts w:ascii="Noto Sans CJK SC" w:hAnsi="Noto Sans CJK SC"/>
        </w:rPr>
        <w:t>The broader UN toolbox does not imply that gender should always be hidden; rather, the visibility of gender should be handled according to communicative goals and context.</w:t>
      </w:r>
    </w:p>
    <w:p>
      <w:pPr>
        <w:spacing w:after="60"/>
      </w:pPr>
      <w:r>
        <w:rPr>
          <w:rFonts w:ascii="Noto Sans CJK SC" w:hAnsi="Noto Sans CJK SC"/>
          <w:b/>
        </w:rPr>
        <w:t>Official source: https://www.un.org/zh/gender-inclusive-language/guidelines.shtml</w:t>
      </w:r>
    </w:p>
    <w:p>
      <w:pPr>
        <w:pStyle w:val="Heading2"/>
      </w:pPr>
      <w:r>
        <w:rPr>
          <w:rFonts w:ascii="Noto Sans CJK SC" w:hAnsi="Noto Sans CJK SC"/>
        </w:rPr>
        <w:t>3.2 European Parliament — Gender-Neutral Language in the European Parliament</w:t>
      </w:r>
    </w:p>
    <w:p>
      <w:r>
        <w:rPr>
          <w:rFonts w:ascii="Noto Sans CJK SC" w:hAnsi="Noto Sans CJK SC"/>
        </w:rPr>
        <w:t>The European Parliament adopted multilingual gender-neutral language guidelines in 2008 and has continued to revise them in later editions. Their value lies in treating gender-neutral language as a practical issue in institutional documents, administrative communication, and multilingual settings rather than as a collection of isolated lexical substitutions.</w:t>
      </w:r>
    </w:p>
    <w:p>
      <w:r>
        <w:rPr>
          <w:rFonts w:ascii="Noto Sans CJK SC" w:hAnsi="Noto Sans CJK SC"/>
        </w:rPr>
        <w:t>Research implications:</w:t>
      </w:r>
    </w:p>
    <w:p>
      <w:pPr>
        <w:pStyle w:val="ListBullet"/>
      </w:pPr>
      <w:r>
        <w:rPr>
          <w:rFonts w:ascii="Noto Sans CJK SC" w:hAnsi="Noto Sans CJK SC"/>
        </w:rPr>
        <w:t>They support the view that gender-inclusive reform is both context-sensitive and language-sensitive.</w:t>
      </w:r>
    </w:p>
    <w:p>
      <w:pPr>
        <w:pStyle w:val="ListBullet"/>
      </w:pPr>
      <w:r>
        <w:rPr>
          <w:rFonts w:ascii="Noto Sans CJK SC" w:hAnsi="Noto Sans CJK SC"/>
        </w:rPr>
        <w:t>They show that the same normative goal may require different linguistic realizations across languages and therefore cannot be reduced to a single surface pattern.</w:t>
      </w:r>
    </w:p>
    <w:p>
      <w:pPr>
        <w:pStyle w:val="ListBullet"/>
      </w:pPr>
      <w:r>
        <w:rPr>
          <w:rFonts w:ascii="Noto Sans CJK SC" w:hAnsi="Noto Sans CJK SC"/>
        </w:rPr>
        <w:t>For NLP, this means that detecting a gendered token is not sufficient evidence that rewriting is required.</w:t>
      </w:r>
    </w:p>
    <w:p>
      <w:pPr>
        <w:spacing w:after="60"/>
      </w:pPr>
      <w:r>
        <w:rPr>
          <w:rFonts w:ascii="Noto Sans CJK SC" w:hAnsi="Noto Sans CJK SC"/>
          <w:b/>
        </w:rPr>
        <w:t>Official source: https://www.europarl.europa.eu/cmsdata/151780/GNL_Guidelines_EN.pdf</w:t>
      </w:r>
    </w:p>
    <w:p>
      <w:pPr>
        <w:pStyle w:val="Heading2"/>
      </w:pPr>
      <w:r>
        <w:rPr>
          <w:rFonts w:ascii="Noto Sans CJK SC" w:hAnsi="Noto Sans CJK SC"/>
        </w:rPr>
        <w:t>3.3 Council of Europe — Recommendation No. R (90) 4</w:t>
      </w:r>
    </w:p>
    <w:p>
      <w:r>
        <w:rPr>
          <w:rFonts w:ascii="Noto Sans CJK SC" w:hAnsi="Noto Sans CJK SC"/>
        </w:rPr>
        <w:t>In 1990, the Committee of Ministers of the Council of Europe adopted Recommendation No. R (90) 4 on the Elimination of Sexism from Language. The recommendation calls on member states to promote language that reflects the principle of equality between women and men and to reduce sexist language in areas such as legal drafting, public administration, education, and the media.</w:t>
      </w:r>
    </w:p>
    <w:p>
      <w:r>
        <w:rPr>
          <w:rFonts w:ascii="Noto Sans CJK SC" w:hAnsi="Noto Sans CJK SC"/>
        </w:rPr>
        <w:t>A particularly important point for research is that the accompanying explanatory memorandum recognizes that languages have their own linguistic systems and developmental patterns. The recommendation therefore does not prescribe a single linguistic template, but encourages member states to identify solutions appropriate to their own language systems.</w:t>
      </w:r>
    </w:p>
    <w:p>
      <w:r>
        <w:rPr>
          <w:rFonts w:ascii="Noto Sans CJK SC" w:hAnsi="Noto Sans CJK SC"/>
        </w:rPr>
        <w:t>Research implications:</w:t>
      </w:r>
    </w:p>
    <w:p>
      <w:pPr>
        <w:pStyle w:val="ListBullet"/>
      </w:pPr>
      <w:r>
        <w:rPr>
          <w:rFonts w:ascii="Noto Sans CJK SC" w:hAnsi="Noto Sans CJK SC"/>
        </w:rPr>
        <w:t>It provides formal institutional support for avoiding the imposition of one uniform surface rewriting rule across all languages and contexts.</w:t>
      </w:r>
    </w:p>
    <w:p>
      <w:pPr>
        <w:pStyle w:val="ListBullet"/>
      </w:pPr>
      <w:r>
        <w:rPr>
          <w:rFonts w:ascii="Noto Sans CJK SC" w:hAnsi="Noto Sans CJK SC"/>
        </w:rPr>
        <w:t>It separates the normative goal from linguistic realization: the goal is equality and non-discrimination, while the linguistic implementation depends on the language system.</w:t>
      </w:r>
    </w:p>
    <w:p>
      <w:pPr>
        <w:pStyle w:val="ListBullet"/>
      </w:pPr>
      <w:r>
        <w:rPr>
          <w:rFonts w:ascii="Noto Sans CJK SC" w:hAnsi="Noto Sans CJK SC"/>
        </w:rPr>
        <w:t>This is highly compatible with an NLP approach that first identifies the function of a gendered expression and only then decides whether intervention is warranted.</w:t>
      </w:r>
    </w:p>
    <w:p>
      <w:pPr>
        <w:spacing w:after="60"/>
      </w:pPr>
      <w:r>
        <w:rPr>
          <w:rFonts w:ascii="Noto Sans CJK SC" w:hAnsi="Noto Sans CJK SC"/>
          <w:b/>
        </w:rPr>
        <w:t>Official source: https://rm.coe.int/09000016809d8190</w:t>
      </w:r>
    </w:p>
    <w:p>
      <w:pPr>
        <w:pStyle w:val="Heading2"/>
      </w:pPr>
      <w:r>
        <w:rPr>
          <w:rFonts w:ascii="Noto Sans CJK SC" w:hAnsi="Noto Sans CJK SC"/>
        </w:rPr>
        <w:t>3.4 UNESCO — Guidelines on Gender-Neutral Language</w:t>
      </w:r>
    </w:p>
    <w:p>
      <w:r>
        <w:rPr>
          <w:rFonts w:ascii="Noto Sans CJK SC" w:hAnsi="Noto Sans CJK SC"/>
        </w:rPr>
        <w:t>UNESCO has long promoted the reduction of sexist terminology in institutional texts and public communication and the adoption of gender-neutral terminology and wording. Its related guidelines and policy documents are among the earlier and more established international sources on gender-neutral language.</w:t>
      </w:r>
    </w:p>
    <w:p>
      <w:r>
        <w:rPr>
          <w:rFonts w:ascii="Noto Sans CJK SC" w:hAnsi="Noto Sans CJK SC"/>
        </w:rPr>
        <w:t>Research implications:</w:t>
      </w:r>
    </w:p>
    <w:p>
      <w:pPr>
        <w:pStyle w:val="ListBullet"/>
      </w:pPr>
      <w:r>
        <w:rPr>
          <w:rFonts w:ascii="Noto Sans CJK SC" w:hAnsi="Noto Sans CJK SC"/>
        </w:rPr>
        <w:t>They demonstrate that gender-neutral and non-sexist language reform has a long-standing international normative tradition.</w:t>
      </w:r>
    </w:p>
    <w:p>
      <w:pPr>
        <w:pStyle w:val="ListBullet"/>
      </w:pPr>
      <w:r>
        <w:rPr>
          <w:rFonts w:ascii="Noto Sans CJK SC" w:hAnsi="Noto Sans CJK SC"/>
        </w:rPr>
        <w:t>They are useful for motivating the positive intervention task: clearly discriminatory language or unnecessary male-as-default wording should be revised.</w:t>
      </w:r>
    </w:p>
    <w:p>
      <w:pPr>
        <w:spacing w:after="60"/>
      </w:pPr>
      <w:r>
        <w:rPr>
          <w:rFonts w:ascii="Noto Sans CJK SC" w:hAnsi="Noto Sans CJK SC"/>
          <w:b/>
        </w:rPr>
        <w:t>Official source: https://unesdoc.unesco.org/ark:/48223/pf0000377299</w:t>
      </w:r>
    </w:p>
    <w:p>
      <w:pPr>
        <w:pStyle w:val="Heading2"/>
      </w:pPr>
      <w:r>
        <w:rPr>
          <w:rFonts w:ascii="Noto Sans CJK SC" w:hAnsi="Noto Sans CJK SC"/>
        </w:rPr>
        <w:t>3.5 APA — Bias-Free Language Guidelines: Gender</w:t>
      </w:r>
    </w:p>
    <w:p>
      <w:r>
        <w:rPr>
          <w:rFonts w:ascii="Noto Sans CJK SC" w:hAnsi="Noto Sans CJK SC"/>
        </w:rPr>
        <w:t>The APA Bias-Free Language Guidelines are designed for professional and academic writing and emphasize language that is accurate, clear, respectful, and free from bias when describing individuals and groups. The gender section provides further principles for inclusive and respectful gender-related expression.</w:t>
      </w:r>
    </w:p>
    <w:p>
      <w:r>
        <w:rPr>
          <w:rFonts w:ascii="Noto Sans CJK SC" w:hAnsi="Noto Sans CJK SC"/>
        </w:rPr>
        <w:t>Research implications:</w:t>
      </w:r>
    </w:p>
    <w:p>
      <w:pPr>
        <w:pStyle w:val="ListBullet"/>
      </w:pPr>
      <w:r>
        <w:rPr>
          <w:rFonts w:ascii="Noto Sans CJK SC" w:hAnsi="Noto Sans CJK SC"/>
        </w:rPr>
        <w:t>Accuracy and bias-free expression are required simultaneously; inclusiveness therefore cannot override factual accuracy.</w:t>
      </w:r>
    </w:p>
    <w:p>
      <w:pPr>
        <w:pStyle w:val="ListBullet"/>
      </w:pPr>
      <w:r>
        <w:rPr>
          <w:rFonts w:ascii="Noto Sans CJK SC" w:hAnsi="Noto Sans CJK SC"/>
        </w:rPr>
        <w:t>The guidelines are particularly useful for motivating fidelity, relevance, and respectfulness dimensions in a rewriting verifier.</w:t>
      </w:r>
    </w:p>
    <w:p>
      <w:pPr>
        <w:pStyle w:val="ListBullet"/>
      </w:pPr>
      <w:r>
        <w:rPr>
          <w:rFonts w:ascii="Noto Sans CJK SC" w:hAnsi="Noto Sans CJK SC"/>
        </w:rPr>
        <w:t>For overcorrection, the APA principles support a clear boundary: removing bias should not come at the cost of factual errors, referential errors, or loss of necessary information.</w:t>
      </w:r>
    </w:p>
    <w:p>
      <w:pPr>
        <w:spacing w:after="60"/>
      </w:pPr>
      <w:r>
        <w:rPr>
          <w:rFonts w:ascii="Noto Sans CJK SC" w:hAnsi="Noto Sans CJK SC"/>
          <w:b/>
        </w:rPr>
        <w:t>Official source: https://apastyle.apa.org/style-grammar-guidelines/bias-free-language/gender</w:t>
      </w:r>
    </w:p>
    <w:p>
      <w:pPr>
        <w:pStyle w:val="Heading2"/>
      </w:pPr>
      <w:r>
        <w:rPr>
          <w:rFonts w:ascii="Noto Sans CJK SC" w:hAnsi="Noto Sans CJK SC"/>
        </w:rPr>
        <w:t>3.6 CEDAW — Convention on the Elimination of All Forms of Discrimination against Women</w:t>
      </w:r>
    </w:p>
    <w:p>
      <w:r>
        <w:rPr>
          <w:rFonts w:ascii="Noto Sans CJK SC" w:hAnsi="Noto Sans CJK SC"/>
        </w:rPr>
        <w:t>CEDAW is a major United Nations convention addressing discrimination against women. For language research, its most relevant contribution is the normative requirement to challenge sociocultural patterns based on stereotyped gender roles and ideas of superiority or inferiority. It is not a concrete rewriting manual, but it provides a higher-level legal and rights-based rationale for countering gender discrimination and stereotypes.</w:t>
      </w:r>
    </w:p>
    <w:p>
      <w:r>
        <w:rPr>
          <w:rFonts w:ascii="Noto Sans CJK SC" w:hAnsi="Noto Sans CJK SC"/>
        </w:rPr>
        <w:t>Research implications:</w:t>
      </w:r>
    </w:p>
    <w:p>
      <w:pPr>
        <w:pStyle w:val="ListBullet"/>
      </w:pPr>
      <w:r>
        <w:rPr>
          <w:rFonts w:ascii="Noto Sans CJK SC" w:hAnsi="Noto Sans CJK SC"/>
        </w:rPr>
        <w:t>It can serve as a normative foundation for why harmful gender stereotypes should be recognized and addressed by language governance systems.</w:t>
      </w:r>
    </w:p>
    <w:p>
      <w:pPr>
        <w:pStyle w:val="ListBullet"/>
      </w:pPr>
      <w:r>
        <w:rPr>
          <w:rFonts w:ascii="Noto Sans CJK SC" w:hAnsi="Noto Sans CJK SC"/>
        </w:rPr>
        <w:t>CEDAW should not be converted directly into word-level rewrite rules; it specifies a normative objective rather than a concrete linguistic operation.</w:t>
      </w:r>
    </w:p>
    <w:p>
      <w:pPr>
        <w:spacing w:after="60"/>
      </w:pPr>
      <w:r>
        <w:rPr>
          <w:rFonts w:ascii="Noto Sans CJK SC" w:hAnsi="Noto Sans CJK SC"/>
          <w:b/>
        </w:rPr>
        <w:t>Official source: https://www.ohchr.org/en/instruments-mechanisms/instruments/convention-elimination-all-forms-discrimination-against-women</w:t>
      </w:r>
    </w:p>
    <w:p>
      <w:pPr>
        <w:pStyle w:val="Heading2"/>
      </w:pPr>
      <w:r>
        <w:rPr>
          <w:rFonts w:ascii="Noto Sans CJK SC" w:hAnsi="Noto Sans CJK SC"/>
        </w:rPr>
        <w:t>3.7 Beijing Declaration and Platform for Action (1995)</w:t>
      </w:r>
    </w:p>
    <w:p>
      <w:r>
        <w:rPr>
          <w:rFonts w:ascii="Noto Sans CJK SC" w:hAnsi="Noto Sans CJK SC"/>
        </w:rPr>
        <w:t>The Beijing Declaration and Platform for Action is one of the foundational documents in the global gender-equality policy framework. It addresses discrimination and stereotyped roles affecting women across broader social, educational, media, rights, and institutional domains.</w:t>
      </w:r>
    </w:p>
    <w:p>
      <w:r>
        <w:rPr>
          <w:rFonts w:ascii="Noto Sans CJK SC" w:hAnsi="Noto Sans CJK SC"/>
        </w:rPr>
        <w:t>Research implications:</w:t>
      </w:r>
    </w:p>
    <w:p>
      <w:pPr>
        <w:pStyle w:val="ListBullet"/>
      </w:pPr>
      <w:r>
        <w:rPr>
          <w:rFonts w:ascii="Noto Sans CJK SC" w:hAnsi="Noto Sans CJK SC"/>
        </w:rPr>
        <w:t>It is useful for situating gender-inclusive language reform within the broader gender-equality framework.</w:t>
      </w:r>
    </w:p>
    <w:p>
      <w:pPr>
        <w:pStyle w:val="ListBullet"/>
      </w:pPr>
      <w:r>
        <w:rPr>
          <w:rFonts w:ascii="Noto Sans CJK SC" w:hAnsi="Noto Sans CJK SC"/>
        </w:rPr>
        <w:t>Like CEDAW, it is better suited to motivating the research problem than to directly deciding whether a specific sentence should be kept or edited.</w:t>
      </w:r>
    </w:p>
    <w:p>
      <w:pPr>
        <w:spacing w:after="60"/>
      </w:pPr>
      <w:r>
        <w:rPr>
          <w:rFonts w:ascii="Noto Sans CJK SC" w:hAnsi="Noto Sans CJK SC"/>
          <w:b/>
        </w:rPr>
        <w:t>Official source: https://www.unwomen.org/en/digital-library/publications/2015/01/beijing-declaration</w:t>
      </w:r>
    </w:p>
    <w:p>
      <w:pPr>
        <w:pStyle w:val="Heading1"/>
      </w:pPr>
      <w:r>
        <w:rPr>
          <w:rFonts w:ascii="Noto Sans CJK SC" w:hAnsi="Noto Sans CJK SC"/>
        </w:rPr>
        <w:t>4. Shared Principles Across the Documents</w:t>
      </w:r>
    </w:p>
    <w:p>
      <w:r>
        <w:rPr>
          <w:rFonts w:ascii="Noto Sans CJK SC" w:hAnsi="Noto Sans CJK SC"/>
        </w:rPr>
        <w:t>Taken together, these documents suggest four shared principles that are particularly important for NLP.</w:t>
      </w:r>
    </w:p>
    <w:p>
      <w:pPr>
        <w:pStyle w:val="Heading2"/>
      </w:pPr>
      <w:r>
        <w:rPr>
          <w:rFonts w:ascii="Noto Sans CJK SC" w:hAnsi="Noto Sans CJK SC"/>
        </w:rPr>
        <w:t>4.1 The Goal Is to Reduce Discrimination and Stereotyping, Not to Remove All Gender Information</w:t>
      </w:r>
    </w:p>
    <w:p>
      <w:r>
        <w:rPr>
          <w:rFonts w:ascii="Noto Sans CJK SC" w:hAnsi="Noto Sans CJK SC"/>
        </w:rPr>
        <w:t>The central aim of these guidelines is to reduce discriminatory, sexist, or stereotypical language. Gender information itself is not automatically biased. In contexts involving medical facts, historical identities, self-identification, legal reference, statistical description, quotations, or explicit discussion of gender, gender information may perform a necessary factual, referential, or discourse function.</w:t>
      </w:r>
    </w:p>
    <w:p>
      <w:pPr>
        <w:pStyle w:val="Heading2"/>
      </w:pPr>
      <w:r>
        <w:rPr>
          <w:rFonts w:ascii="Noto Sans CJK SC" w:hAnsi="Noto Sans CJK SC"/>
        </w:rPr>
        <w:t>4.2 Inclusive Expression Is Language-Specific and Context-Specific</w:t>
      </w:r>
    </w:p>
    <w:p>
      <w:r>
        <w:rPr>
          <w:rFonts w:ascii="Noto Sans CJK SC" w:hAnsi="Noto Sans CJK SC"/>
        </w:rPr>
        <w:t>The United Nations emphasizes tailored approaches for its six official languages, while the Council of Europe similarly recognizes the need for solutions that fit each linguistic system. Gender-inclusive rewriting therefore should not rely only on cross-lingual word lists or surface trigger terms.</w:t>
      </w:r>
    </w:p>
    <w:p>
      <w:pPr>
        <w:pStyle w:val="Heading2"/>
      </w:pPr>
      <w:r>
        <w:rPr>
          <w:rFonts w:ascii="Noto Sans CJK SC" w:hAnsi="Noto Sans CJK SC"/>
        </w:rPr>
        <w:t>4.3 Neutralization Is a Strategy, Not the Sole Objective</w:t>
      </w:r>
    </w:p>
    <w:p>
      <w:r>
        <w:rPr>
          <w:rFonts w:ascii="Noto Sans CJK SC" w:hAnsi="Noto Sans CJK SC"/>
        </w:rPr>
        <w:t>In some contexts, neutral wording can reduce male-as-default assumptions or unnecessary gender marking. In other contexts, explicit gender information may be necessary for accurate communication. A more appropriate abstraction is therefore not simply “gendered → neutral,” but “select the least discriminatory expression that remains accurate in context.”</w:t>
      </w:r>
    </w:p>
    <w:p>
      <w:pPr>
        <w:pStyle w:val="Heading2"/>
      </w:pPr>
      <w:r>
        <w:rPr>
          <w:rFonts w:ascii="Noto Sans CJK SC" w:hAnsi="Noto Sans CJK SC"/>
        </w:rPr>
        <w:t>4.4 Accuracy and Fidelity Are Boundary Conditions for Inclusive Rewriting</w:t>
      </w:r>
    </w:p>
    <w:p>
      <w:r>
        <w:rPr>
          <w:rFonts w:ascii="Noto Sans CJK SC" w:hAnsi="Noto Sans CJK SC"/>
        </w:rPr>
        <w:t>Professional guidelines such as those from APA place accuracy, clarity, and bias-free expression side by side. A rewrite cannot be considered high-quality gender-inclusive rewriting merely because it appears more neutral if it distorts facts, identity, quotations, legal meaning, pragmatic purpose, or the original stance.</w:t>
      </w:r>
    </w:p>
    <w:p>
      <w:pPr>
        <w:pStyle w:val="Heading1"/>
      </w:pPr>
      <w:r>
        <w:rPr>
          <w:rFonts w:ascii="Noto Sans CJK SC" w:hAnsi="Noto Sans CJK SC"/>
        </w:rPr>
        <w:t>5. Direct Implications for Gender-Inclusive Rewriting and Overcorrection</w:t>
      </w:r>
    </w:p>
    <w:p>
      <w:r>
        <w:rPr>
          <w:rFonts w:ascii="Noto Sans CJK SC" w:hAnsi="Noto Sans CJK SC"/>
        </w:rPr>
        <w:t>The principles above can be translated into an NLP-oriented decision framework:</w:t>
      </w:r>
    </w:p>
    <w:tbl>
      <w:tblPr>
        <w:tblStyle w:val="TableGrid"/>
        <w:tblW w:type="auto" w:w="0"/>
        <w:jc w:val="center"/>
        <w:tblLook w:firstColumn="1" w:firstRow="1" w:lastColumn="0" w:lastRow="0" w:noHBand="0" w:noVBand="1" w:val="04A0"/>
      </w:tblPr>
      <w:tblGrid>
        <w:gridCol w:w="4762"/>
        <w:gridCol w:w="4762"/>
      </w:tblGrid>
      <w:tr>
        <w:trPr>
          <w:cantSplit/>
        </w:trPr>
        <w:tc>
          <w:tcPr>
            <w:tcW w:type="dxa" w:w="4762"/>
            <w:shd w:fill="EAF2F8"/>
            <w:tcMar>
              <w:top w:w="100" w:type="dxa"/>
              <w:start w:w="100" w:type="dxa"/>
              <w:bottom w:w="100" w:type="dxa"/>
              <w:end w:w="100" w:type="dxa"/>
            </w:tcMar>
          </w:tcPr>
          <w:p>
            <w:r>
              <w:rPr>
                <w:rFonts w:ascii="Noto Sans CJK SC" w:hAnsi="Noto Sans CJK SC"/>
                <w:b/>
                <w:sz w:val="18"/>
              </w:rPr>
              <w:t>Step 1 — Epistemic / Functional Check</w:t>
            </w:r>
          </w:p>
        </w:tc>
        <w:tc>
          <w:tcPr>
            <w:tcW w:type="dxa" w:w="4762"/>
            <w:tcMar>
              <w:top w:w="100" w:type="dxa"/>
              <w:start w:w="100" w:type="dxa"/>
              <w:bottom w:w="100" w:type="dxa"/>
              <w:end w:w="100" w:type="dxa"/>
            </w:tcMar>
          </w:tcPr>
          <w:p>
            <w:r>
              <w:rPr>
                <w:rFonts w:ascii="Noto Sans CJK SC" w:hAnsi="Noto Sans CJK SC"/>
                <w:sz w:val="18"/>
              </w:rPr>
              <w:t>Does the current gender information serve a necessary factual, referential, identity-related, quotation-related, legal, historical, statistical, pragmatic, or discourse function?</w:t>
            </w:r>
          </w:p>
        </w:tc>
      </w:tr>
      <w:tr>
        <w:trPr>
          <w:cantSplit/>
        </w:trPr>
        <w:tc>
          <w:tcPr>
            <w:tcW w:type="dxa" w:w="4762"/>
            <w:shd w:fill="EAF2F8"/>
            <w:tcMar>
              <w:top w:w="100" w:type="dxa"/>
              <w:start w:w="100" w:type="dxa"/>
              <w:bottom w:w="100" w:type="dxa"/>
              <w:end w:w="100" w:type="dxa"/>
            </w:tcMar>
          </w:tcPr>
          <w:p>
            <w:r>
              <w:rPr>
                <w:rFonts w:ascii="Noto Sans CJK SC" w:hAnsi="Noto Sans CJK SC"/>
                <w:b/>
                <w:sz w:val="18"/>
              </w:rPr>
              <w:t>Step 2 — Intervention Necessity</w:t>
            </w:r>
          </w:p>
        </w:tc>
        <w:tc>
          <w:tcPr>
            <w:tcW w:type="dxa" w:w="4762"/>
            <w:tcMar>
              <w:top w:w="100" w:type="dxa"/>
              <w:start w:w="100" w:type="dxa"/>
              <w:bottom w:w="100" w:type="dxa"/>
              <w:end w:w="100" w:type="dxa"/>
            </w:tcMar>
          </w:tcPr>
          <w:p>
            <w:r>
              <w:rPr>
                <w:rFonts w:ascii="Noto Sans CJK SC" w:hAnsi="Noto Sans CJK SC"/>
                <w:sz w:val="18"/>
              </w:rPr>
              <w:t>Does the expression genuinely contain unnecessary gender bias, stereotyping, male-as-default assumptions, or unequal/exclusionary wording? Edit only when there is a normative reason to intervene.</w:t>
            </w:r>
          </w:p>
        </w:tc>
      </w:tr>
      <w:tr>
        <w:trPr>
          <w:cantSplit/>
        </w:trPr>
        <w:tc>
          <w:tcPr>
            <w:tcW w:type="dxa" w:w="4762"/>
            <w:shd w:fill="EAF2F8"/>
            <w:tcMar>
              <w:top w:w="100" w:type="dxa"/>
              <w:start w:w="100" w:type="dxa"/>
              <w:bottom w:w="100" w:type="dxa"/>
              <w:end w:w="100" w:type="dxa"/>
            </w:tcMar>
          </w:tcPr>
          <w:p>
            <w:r>
              <w:rPr>
                <w:rFonts w:ascii="Noto Sans CJK SC" w:hAnsi="Noto Sans CJK SC"/>
                <w:b/>
                <w:sz w:val="18"/>
              </w:rPr>
              <w:t>Step 3 — Rewrite Realization</w:t>
            </w:r>
          </w:p>
        </w:tc>
        <w:tc>
          <w:tcPr>
            <w:tcW w:type="dxa" w:w="4762"/>
            <w:tcMar>
              <w:top w:w="100" w:type="dxa"/>
              <w:start w:w="100" w:type="dxa"/>
              <w:bottom w:w="100" w:type="dxa"/>
              <w:end w:w="100" w:type="dxa"/>
            </w:tcMar>
          </w:tcPr>
          <w:p>
            <w:r>
              <w:rPr>
                <w:rFonts w:ascii="Noto Sans CJK SC" w:hAnsi="Noto Sans CJK SC"/>
                <w:sz w:val="18"/>
              </w:rPr>
              <w:t>If editing is warranted, select an appropriate strategy such as neutralization, parallel expression, role reformulation, or another language-specific operation, and then verify fidelity.</w:t>
            </w:r>
          </w:p>
        </w:tc>
      </w:tr>
    </w:tbl>
    <w:p>
      <w:r>
        <w:rPr>
          <w:rFonts w:ascii="Noto Sans CJK SC" w:hAnsi="Noto Sans CJK SC"/>
          <w:b/>
        </w:rPr>
        <w:t>For selective rewriting, a more appropriate task formulation is therefore:</w:t>
      </w:r>
    </w:p>
    <w:p>
      <w:pPr>
        <w:jc w:val="center"/>
      </w:pPr>
      <w:r>
        <w:rPr>
          <w:rFonts w:ascii="Noto Sans CJK SC" w:hAnsi="Noto Sans CJK SC"/>
          <w:b/>
          <w:sz w:val="24"/>
        </w:rPr>
        <w:t>Gender salience ≠ bias      |      Gender neutrality ≠ correctness</w:t>
      </w:r>
    </w:p>
    <w:p>
      <w:pPr>
        <w:jc w:val="center"/>
      </w:pPr>
      <w:r>
        <w:rPr>
          <w:rFonts w:ascii="Noto Sans CJK SC" w:hAnsi="Noto Sans CJK SC"/>
          <w:b/>
          <w:sz w:val="24"/>
        </w:rPr>
        <w:t>First determine whether intervention is warranted; only then determine how to rewrite.</w:t>
      </w:r>
    </w:p>
    <w:p>
      <w:pPr>
        <w:pStyle w:val="Heading1"/>
      </w:pPr>
      <w:r>
        <w:rPr>
          <w:rFonts w:ascii="Noto Sans CJK SC" w:hAnsi="Noto Sans CJK SC"/>
        </w:rPr>
        <w:t>6. Keep/Edit Principles for Dataset Annotation and Evaluation</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3175"/>
            <w:shd w:fill="D9EAF7"/>
          </w:tcPr>
          <w:p>
            <w:r>
              <w:rPr>
                <w:rFonts w:ascii="Noto Sans CJK SC" w:hAnsi="Noto Sans CJK SC"/>
                <w:b/>
              </w:rPr>
              <w:t>Decision</w:t>
            </w:r>
          </w:p>
        </w:tc>
        <w:tc>
          <w:tcPr>
            <w:tcW w:type="dxa" w:w="3175"/>
            <w:shd w:fill="D9EAF7"/>
          </w:tcPr>
          <w:p>
            <w:r>
              <w:rPr>
                <w:rFonts w:ascii="Noto Sans CJK SC" w:hAnsi="Noto Sans CJK SC"/>
                <w:b/>
              </w:rPr>
              <w:t>Normative Judgment</w:t>
            </w:r>
          </w:p>
        </w:tc>
        <w:tc>
          <w:tcPr>
            <w:tcW w:type="dxa" w:w="3175"/>
            <w:shd w:fill="D9EAF7"/>
          </w:tcPr>
          <w:p>
            <w:r>
              <w:rPr>
                <w:rFonts w:ascii="Noto Sans CJK SC" w:hAnsi="Noto Sans CJK SC"/>
                <w:b/>
              </w:rPr>
              <w:t>Typical Scenarios</w:t>
            </w:r>
          </w:p>
        </w:tc>
      </w:tr>
      <w:tr>
        <w:trPr>
          <w:cantSplit/>
        </w:trPr>
        <w:tc>
          <w:tcPr>
            <w:tcW w:type="dxa" w:w="3175"/>
            <w:tcMar>
              <w:top w:w="90" w:type="dxa"/>
              <w:start w:w="90" w:type="dxa"/>
              <w:bottom w:w="90" w:type="dxa"/>
              <w:end w:w="90" w:type="dxa"/>
            </w:tcMar>
          </w:tcPr>
          <w:p>
            <w:r>
              <w:rPr>
                <w:rFonts w:ascii="Noto Sans CJK SC" w:hAnsi="Noto Sans CJK SC"/>
                <w:b/>
                <w:sz w:val="18"/>
              </w:rPr>
              <w:t>KEEP</w:t>
            </w:r>
          </w:p>
        </w:tc>
        <w:tc>
          <w:tcPr>
            <w:tcW w:type="dxa" w:w="3175"/>
            <w:tcMar>
              <w:top w:w="90" w:type="dxa"/>
              <w:start w:w="90" w:type="dxa"/>
              <w:bottom w:w="90" w:type="dxa"/>
              <w:end w:w="90" w:type="dxa"/>
            </w:tcMar>
          </w:tcPr>
          <w:p>
            <w:r>
              <w:rPr>
                <w:rFonts w:ascii="Noto Sans CJK SC" w:hAnsi="Noto Sans CJK SC"/>
                <w:sz w:val="18"/>
              </w:rPr>
              <w:t>Gender information has a genuine and necessary communicative function; removing or neutralizing it would damage accuracy, reference, identity, stance, pragmatics, or textual integrity.</w:t>
            </w:r>
          </w:p>
        </w:tc>
        <w:tc>
          <w:tcPr>
            <w:tcW w:type="dxa" w:w="3175"/>
            <w:tcMar>
              <w:top w:w="90" w:type="dxa"/>
              <w:start w:w="90" w:type="dxa"/>
              <w:bottom w:w="90" w:type="dxa"/>
              <w:end w:w="90" w:type="dxa"/>
            </w:tcMar>
          </w:tcPr>
          <w:p>
            <w:r>
              <w:rPr>
                <w:rFonts w:ascii="Noto Sans CJK SC" w:hAnsi="Noto Sans CJK SC"/>
                <w:sz w:val="18"/>
              </w:rPr>
              <w:t>Medical/biological facts; self-identification; historical titles; statistical facts; legal text; quotations; discussion of gender itself; necessary distinctions between people.</w:t>
            </w:r>
          </w:p>
        </w:tc>
      </w:tr>
      <w:tr>
        <w:trPr>
          <w:cantSplit/>
        </w:trPr>
        <w:tc>
          <w:tcPr>
            <w:tcW w:type="dxa" w:w="3175"/>
            <w:tcMar>
              <w:top w:w="90" w:type="dxa"/>
              <w:start w:w="90" w:type="dxa"/>
              <w:bottom w:w="90" w:type="dxa"/>
              <w:end w:w="90" w:type="dxa"/>
            </w:tcMar>
          </w:tcPr>
          <w:p>
            <w:r>
              <w:rPr>
                <w:rFonts w:ascii="Noto Sans CJK SC" w:hAnsi="Noto Sans CJK SC"/>
                <w:b/>
                <w:sz w:val="18"/>
              </w:rPr>
              <w:t>EDIT</w:t>
            </w:r>
          </w:p>
        </w:tc>
        <w:tc>
          <w:tcPr>
            <w:tcW w:type="dxa" w:w="3175"/>
            <w:tcMar>
              <w:top w:w="90" w:type="dxa"/>
              <w:start w:w="90" w:type="dxa"/>
              <w:bottom w:w="90" w:type="dxa"/>
              <w:end w:w="90" w:type="dxa"/>
            </w:tcMar>
          </w:tcPr>
          <w:p>
            <w:r>
              <w:rPr>
                <w:rFonts w:ascii="Noto Sans CJK SC" w:hAnsi="Noto Sans CJK SC"/>
                <w:sz w:val="18"/>
              </w:rPr>
              <w:t>Gender marking is not necessary for the current communicative goal and introduces gender bias, stereotyped roles, unjustified male-as-default assumptions, or exclusionary wording.</w:t>
            </w:r>
          </w:p>
        </w:tc>
        <w:tc>
          <w:tcPr>
            <w:tcW w:type="dxa" w:w="3175"/>
            <w:tcMar>
              <w:top w:w="90" w:type="dxa"/>
              <w:start w:w="90" w:type="dxa"/>
              <w:bottom w:w="90" w:type="dxa"/>
              <w:end w:w="90" w:type="dxa"/>
            </w:tcMar>
          </w:tcPr>
          <w:p>
            <w:r>
              <w:rPr>
                <w:rFonts w:ascii="Noto Sans CJK SC" w:hAnsi="Noto Sans CJK SC"/>
                <w:sz w:val="18"/>
              </w:rPr>
              <w:t>Occupational stereotypes; unsupported assumptions about gender roles; exclusionary generic masculine forms; unnecessary gender-based restrictions on ability, personality, or social roles.</w:t>
            </w:r>
          </w:p>
        </w:tc>
      </w:tr>
    </w:tbl>
    <w:p>
      <w:pPr>
        <w:pStyle w:val="Heading1"/>
      </w:pPr>
      <w:r>
        <w:rPr>
          <w:rFonts w:ascii="Noto Sans CJK SC" w:hAnsi="Noto Sans CJK SC"/>
        </w:rPr>
        <w:t>7. Research Conclusion</w:t>
      </w:r>
    </w:p>
    <w:p>
      <w:r>
        <w:rPr>
          <w:rFonts w:ascii="Noto Sans CJK SC" w:hAnsi="Noto Sans CJK SC"/>
        </w:rPr>
        <w:t>Across these authoritative sources, an NLP-oriented normative conclusion can be summarized as follows:</w:t>
      </w:r>
    </w:p>
    <w:tbl>
      <w:tblPr>
        <w:tblStyle w:val="TableGrid"/>
        <w:tblW w:type="auto" w:w="0"/>
        <w:jc w:val="center"/>
        <w:tblLook w:firstColumn="1" w:firstRow="1" w:lastColumn="0" w:lastRow="0" w:noHBand="0" w:noVBand="1" w:val="04A0"/>
      </w:tblPr>
      <w:tblGrid>
        <w:gridCol w:w="9524"/>
      </w:tblGrid>
      <w:tr>
        <w:tc>
          <w:tcPr>
            <w:tcW w:type="dxa" w:w="9524"/>
            <w:shd w:fill="F3F6F8"/>
            <w:tcMar>
              <w:top w:w="160" w:type="dxa"/>
              <w:start w:w="200" w:type="dxa"/>
              <w:bottom w:w="160" w:type="dxa"/>
              <w:end w:w="200" w:type="dxa"/>
            </w:tcMar>
          </w:tcPr>
          <w:p>
            <w:pPr>
              <w:jc w:val="center"/>
            </w:pPr>
            <w:r>
              <w:rPr>
                <w:rFonts w:ascii="Noto Sans CJK SC" w:hAnsi="Noto Sans CJK SC"/>
                <w:b/>
                <w:sz w:val="22"/>
              </w:rPr>
              <w:t>Use gender-inclusive language while preserving accuracy, communicative function, and contextually relevant gender information.</w:t>
            </w:r>
          </w:p>
        </w:tc>
      </w:tr>
    </w:tbl>
    <w:p>
      <w:r>
        <w:rPr>
          <w:rFonts w:ascii="Noto Sans CJK SC" w:hAnsi="Noto Sans CJK SC"/>
        </w:rPr>
        <w:t>In other words, the key capability in gender-inclusive generation is not merely the ability to produce a more neutral sentence, but intervention-necessity calibration: a model should distinguish expressions that genuinely require revision because they encode unjustified bias from expressions that contain salient gender cues but should be preserved. Treating gender salience itself as an intervention signal is a central source of overcorrection.</w:t>
      </w:r>
    </w:p>
    <w:p>
      <w:pPr>
        <w:pStyle w:val="Heading1"/>
      </w:pPr>
      <w:r>
        <w:rPr>
          <w:rFonts w:ascii="Noto Sans CJK SC" w:hAnsi="Noto Sans CJK SC"/>
        </w:rPr>
        <w:t>8. Recommended Citation Hierarchy for Research Papers</w:t>
      </w:r>
    </w:p>
    <w:p>
      <w:pPr>
        <w:pStyle w:val="ListNumber"/>
      </w:pPr>
      <w:r>
        <w:rPr>
          <w:rFonts w:ascii="Noto Sans CJK SC" w:hAnsi="Noto Sans CJK SC"/>
        </w:rPr>
        <w:t>Direct Chinese and language guidance: United Nations Chinese Guidelines → European Parliament → UNESCO.</w:t>
      </w:r>
    </w:p>
    <w:p>
      <w:pPr>
        <w:pStyle w:val="ListNumber"/>
      </w:pPr>
      <w:r>
        <w:rPr>
          <w:rFonts w:ascii="Noto Sans CJK SC" w:hAnsi="Noto Sans CJK SC"/>
        </w:rPr>
        <w:t>Institutional and normative foundations: Council of Europe R(90)4 → CEDAW → Beijing Platform for Action.</w:t>
      </w:r>
    </w:p>
    <w:p>
      <w:pPr>
        <w:pStyle w:val="ListNumber"/>
      </w:pPr>
      <w:r>
        <w:rPr>
          <w:rFonts w:ascii="Noto Sans CJK SC" w:hAnsi="Noto Sans CJK SC"/>
        </w:rPr>
        <w:t>Accuracy and professional-writing boundaries: APA Bias-Free Language Guidelines.</w:t>
      </w:r>
    </w:p>
    <w:p>
      <w:r>
        <w:rPr>
          <w:rFonts w:ascii="Noto Sans CJK SC" w:hAnsi="Noto Sans CJK SC"/>
        </w:rPr>
        <w:t>If space is limited, the strongest set to prioritize is the UN Chinese Guidelines, the European Parliament guidelines, the Council of Europe recommendation, and the APA guidelines. Together, they cover direct Chinese guidance, multilingual practice, institutional language principles, and the accuracy boundary.</w:t>
      </w:r>
    </w:p>
    <w:p>
      <w:pPr>
        <w:pStyle w:val="Heading1"/>
      </w:pPr>
      <w:r>
        <w:rPr>
          <w:rFonts w:ascii="Noto Sans CJK SC" w:hAnsi="Noto Sans CJK SC"/>
        </w:rPr>
        <w:t>References and Official Sources</w:t>
      </w:r>
    </w:p>
    <w:p>
      <w:pPr>
        <w:spacing w:after="80"/>
        <w:ind w:left="198" w:hanging="198"/>
      </w:pPr>
      <w:r>
        <w:rPr>
          <w:rFonts w:ascii="Noto Sans CJK SC" w:hAnsi="Noto Sans CJK SC"/>
          <w:sz w:val="18"/>
        </w:rPr>
        <w:t>1. United Nations. Chinese Guidelines for Gender-Inclusive Language. Official source.</w:t>
      </w:r>
    </w:p>
    <w:p>
      <w:pPr>
        <w:spacing w:after="80"/>
        <w:ind w:left="198" w:hanging="198"/>
      </w:pPr>
      <w:r>
        <w:rPr>
          <w:rFonts w:ascii="Noto Sans CJK SC" w:hAnsi="Noto Sans CJK SC"/>
          <w:sz w:val="18"/>
        </w:rPr>
        <w:t>2. United Nations. Gender-Inclusive Language. Official source.</w:t>
      </w:r>
    </w:p>
    <w:p>
      <w:pPr>
        <w:spacing w:after="80"/>
        <w:ind w:left="198" w:hanging="198"/>
      </w:pPr>
      <w:r>
        <w:rPr>
          <w:rFonts w:ascii="Noto Sans CJK SC" w:hAnsi="Noto Sans CJK SC"/>
          <w:sz w:val="18"/>
        </w:rPr>
        <w:t>3. European Parliament. Gender-Neutral Language in the European Parliament. Official source.</w:t>
      </w:r>
    </w:p>
    <w:p>
      <w:pPr>
        <w:spacing w:after="80"/>
        <w:ind w:left="198" w:hanging="198"/>
      </w:pPr>
      <w:r>
        <w:rPr>
          <w:rFonts w:ascii="Noto Sans CJK SC" w:hAnsi="Noto Sans CJK SC"/>
          <w:sz w:val="18"/>
        </w:rPr>
        <w:t>4. Council of Europe. Recommendation No. R (90) 4 on the Elimination of Sexism from Language and Explanatory Memorandum. Official source.</w:t>
      </w:r>
    </w:p>
    <w:p>
      <w:pPr>
        <w:spacing w:after="80"/>
        <w:ind w:left="198" w:hanging="198"/>
      </w:pPr>
      <w:r>
        <w:rPr>
          <w:rFonts w:ascii="Noto Sans CJK SC" w:hAnsi="Noto Sans CJK SC"/>
          <w:sz w:val="18"/>
        </w:rPr>
        <w:t>5. UNESCO. Guidelines on Gender-Neutral Language. Official source.</w:t>
      </w:r>
    </w:p>
    <w:p>
      <w:pPr>
        <w:spacing w:after="80"/>
        <w:ind w:left="198" w:hanging="198"/>
      </w:pPr>
      <w:r>
        <w:rPr>
          <w:rFonts w:ascii="Noto Sans CJK SC" w:hAnsi="Noto Sans CJK SC"/>
          <w:sz w:val="18"/>
        </w:rPr>
        <w:t>6. American Psychological Association. Bias-Free Language Guidelines: Gender. Official source.</w:t>
      </w:r>
    </w:p>
    <w:p>
      <w:pPr>
        <w:spacing w:after="80"/>
        <w:ind w:left="198" w:hanging="198"/>
      </w:pPr>
      <w:r>
        <w:rPr>
          <w:rFonts w:ascii="Noto Sans CJK SC" w:hAnsi="Noto Sans CJK SC"/>
          <w:sz w:val="18"/>
        </w:rPr>
        <w:t>7. OHCHR. Convention on the Elimination of All Forms of Discrimination against Women. Official source.</w:t>
      </w:r>
    </w:p>
    <w:p>
      <w:pPr>
        <w:spacing w:after="80"/>
        <w:ind w:left="198" w:hanging="198"/>
      </w:pPr>
      <w:r>
        <w:rPr>
          <w:rFonts w:ascii="Noto Sans CJK SC" w:hAnsi="Noto Sans CJK SC"/>
          <w:sz w:val="18"/>
        </w:rPr>
        <w:t>8. UN Women. Beijing Declaration and Platform for Action. Official source.</w:t>
      </w:r>
    </w:p>
    <w:sectPr w:rsidR="00FC693F" w:rsidRPr="0006063C" w:rsidSect="00034616">
      <w:footerReference w:type="default" r:id="rId17"/>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28282"/>
        <w:sz w:val="16"/>
      </w:rPr>
      <w:t>Gender-Inclusive Language — Authoritative Documents &amp; NLP Implications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Noto Sans CJK SC"/>
      <w:b/>
      <w:bCs/>
      <w:color w:val="2F54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Noto Sans CJK SC"/>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org/zh/gender-inclusive-language/guidelines.shtml" TargetMode="External"/><Relationship Id="rId10" Type="http://schemas.openxmlformats.org/officeDocument/2006/relationships/hyperlink" Target="https://www.europarl.europa.eu/cmsdata/151780/GNL_Guidelines_EN.pdf" TargetMode="External"/><Relationship Id="rId11" Type="http://schemas.openxmlformats.org/officeDocument/2006/relationships/hyperlink" Target="https://rm.coe.int/09000016809d8190" TargetMode="External"/><Relationship Id="rId12" Type="http://schemas.openxmlformats.org/officeDocument/2006/relationships/hyperlink" Target="https://unesdoc.unesco.org/ark:/48223/pf0000377299" TargetMode="External"/><Relationship Id="rId13" Type="http://schemas.openxmlformats.org/officeDocument/2006/relationships/hyperlink" Target="https://apastyle.apa.org/style-grammar-guidelines/bias-free-language/gender" TargetMode="External"/><Relationship Id="rId14" Type="http://schemas.openxmlformats.org/officeDocument/2006/relationships/hyperlink" Target="https://www.ohchr.org/en/instruments-mechanisms/instruments/convention-elimination-all-forms-discrimination-against-women" TargetMode="External"/><Relationship Id="rId15" Type="http://schemas.openxmlformats.org/officeDocument/2006/relationships/hyperlink" Target="https://www.unwomen.org/en/digital-library/publications/2015/01/beijing-declaration" TargetMode="External"/><Relationship Id="rId16" Type="http://schemas.openxmlformats.org/officeDocument/2006/relationships/hyperlink" Target="https://www.un.org/en/gender-inclusive-language/"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Authoritative Guidelines and Policy Documents on Gender-Inclusive Language</dc:title>
  <dc:subject>International norms and research implications for gender-inclusive rewriting and overcorrection</dc:subject>
  <dc:creator>python-docx</dc:creator>
  <cp:keywords>gender-inclusive language, gender-neutral language, NLP, rewriting, overcorrection</cp:keywords>
  <dc:description>generated by python-docx</dc:description>
  <cp:lastModifiedBy/>
  <cp:revision>1</cp:revision>
  <dcterms:created xsi:type="dcterms:W3CDTF">2013-12-23T23:15:00Z</dcterms:created>
  <dcterms:modified xsi:type="dcterms:W3CDTF">2013-12-23T23:15:00Z</dcterms:modified>
  <cp:category/>
</cp:coreProperties>
</file>