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旧策略：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开启：满充时若支路压差大于</w:t>
      </w:r>
      <w:r>
        <w:rPr>
          <w:rFonts w:hint="eastAsia"/>
          <w:color w:val="C00000"/>
          <w:lang w:val="en-US" w:eastAsia="zh-CN"/>
        </w:rPr>
        <w:t>160mV</w:t>
      </w:r>
      <w:r>
        <w:rPr>
          <w:rFonts w:hint="eastAsia"/>
          <w:lang w:val="en-US" w:eastAsia="zh-CN"/>
        </w:rPr>
        <w:t>，则将每个电芯电压与</w:t>
      </w:r>
      <w:r>
        <w:rPr>
          <w:rFonts w:hint="eastAsia"/>
          <w:color w:val="C00000"/>
          <w:lang w:val="en-US" w:eastAsia="zh-CN"/>
        </w:rPr>
        <w:t>所在支路平均电压</w:t>
      </w:r>
      <w:r>
        <w:rPr>
          <w:rFonts w:hint="eastAsia"/>
          <w:lang w:val="en-US" w:eastAsia="zh-CN"/>
        </w:rPr>
        <w:t>进行比较，若电压大于</w:t>
      </w:r>
      <w:r>
        <w:rPr>
          <w:rFonts w:hint="eastAsia"/>
          <w:color w:val="C00000"/>
          <w:lang w:val="en-US" w:eastAsia="zh-CN"/>
        </w:rPr>
        <w:t>支路平均电压+20mV</w:t>
      </w:r>
      <w:r>
        <w:rPr>
          <w:rFonts w:hint="eastAsia"/>
          <w:lang w:val="en-US" w:eastAsia="zh-CN"/>
        </w:rPr>
        <w:t>，则记录其位置，再次上电后开启均衡。</w:t>
      </w:r>
    </w:p>
    <w:p>
      <w:pPr>
        <w:rPr>
          <w:rFonts w:hint="eastAsia" w:ascii="宋体" w:eastAsia="宋体" w:cs="宋体"/>
          <w:color w:val="000000"/>
          <w:kern w:val="0"/>
          <w:lang w:val="zh-CN"/>
        </w:rPr>
      </w:pPr>
      <w:r>
        <w:rPr>
          <w:rFonts w:hint="eastAsia"/>
          <w:lang w:val="en-US" w:eastAsia="zh-CN"/>
        </w:rPr>
        <w:t>关闭：根据上电时间和电流判断当前处于静置/伪静置/非静置状态，</w:t>
      </w:r>
      <w:r>
        <w:rPr>
          <w:rFonts w:hint="eastAsia" w:ascii="宋体" w:eastAsia="宋体" w:cs="宋体"/>
          <w:color w:val="000000"/>
          <w:kern w:val="0"/>
          <w:lang w:val="zh-CN"/>
        </w:rPr>
        <w:t>将每个电芯与其所在主路最小电压作比较，当电压差小于相关阈值时则关闭这个电芯的均衡。</w:t>
      </w:r>
    </w:p>
    <w:p>
      <w:pPr>
        <w:rPr>
          <w:rFonts w:hint="eastAsia" w:ascii="宋体" w:eastAsia="宋体" w:cs="宋体"/>
          <w:color w:val="000000"/>
          <w:kern w:val="0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lang w:val="en-US" w:eastAsia="zh-CN"/>
        </w:rPr>
        <w:t>非静置：30mV；伪静置：6mV；静置：10mV</w:t>
      </w:r>
    </w:p>
    <w:p>
      <w:pPr>
        <w:rPr>
          <w:rFonts w:hint="eastAsia" w:ascii="宋体" w:eastAsia="宋体" w:cs="宋体"/>
          <w:color w:val="000000"/>
          <w:kern w:val="0"/>
          <w:lang w:val="en-US" w:eastAsia="zh-CN"/>
        </w:rPr>
      </w:pPr>
    </w:p>
    <w:p>
      <w:pPr>
        <w:rPr>
          <w:rFonts w:hint="eastAsia" w:ascii="宋体" w:eastAsia="宋体" w:cs="宋体"/>
          <w:color w:val="000000"/>
          <w:kern w:val="0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lang w:val="en-US" w:eastAsia="zh-CN"/>
        </w:rPr>
        <w:t>新策略：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eastAsia="宋体" w:cs="宋体"/>
          <w:color w:val="000000"/>
          <w:kern w:val="0"/>
          <w:lang w:val="en-US" w:eastAsia="zh-CN"/>
        </w:rPr>
        <w:t>满充持续均衡：</w:t>
      </w:r>
      <w:r>
        <w:rPr>
          <w:rFonts w:hint="eastAsia"/>
          <w:lang w:val="en-US" w:eastAsia="zh-CN"/>
        </w:rPr>
        <w:t>满充时若支路压差大于</w:t>
      </w:r>
      <w:r>
        <w:rPr>
          <w:rFonts w:hint="eastAsia"/>
          <w:color w:val="C00000"/>
          <w:lang w:val="en-US" w:eastAsia="zh-CN"/>
        </w:rPr>
        <w:t>150mV</w:t>
      </w:r>
      <w:r>
        <w:rPr>
          <w:rFonts w:hint="eastAsia"/>
          <w:lang w:val="en-US" w:eastAsia="zh-CN"/>
        </w:rPr>
        <w:t>，则将每个电芯电压与</w:t>
      </w:r>
      <w:r>
        <w:rPr>
          <w:rFonts w:hint="eastAsia"/>
          <w:color w:val="C00000"/>
          <w:lang w:val="en-US" w:eastAsia="zh-CN"/>
        </w:rPr>
        <w:t>所在支路最小电压</w:t>
      </w:r>
      <w:r>
        <w:rPr>
          <w:rFonts w:hint="eastAsia"/>
          <w:lang w:val="en-US" w:eastAsia="zh-CN"/>
        </w:rPr>
        <w:t>进行比较，若电压大于</w:t>
      </w:r>
      <w:r>
        <w:rPr>
          <w:rFonts w:hint="eastAsia"/>
          <w:color w:val="C00000"/>
          <w:lang w:val="en-US" w:eastAsia="zh-CN"/>
        </w:rPr>
        <w:t>支路最小电压+20mV</w:t>
      </w:r>
      <w:r>
        <w:rPr>
          <w:rFonts w:hint="eastAsia"/>
          <w:lang w:val="en-US" w:eastAsia="zh-CN"/>
        </w:rPr>
        <w:t>，则记录其位置，同时根据均衡电流（100mA）、均衡占空比（80%）和单电芯容量（标定值*SOH）计算单电芯均衡</w:t>
      </w:r>
      <w:r>
        <w:rPr>
          <w:rFonts w:hint="eastAsia" w:ascii="Times New Roman" w:hAnsi="Times New Roman" w:eastAsia="宋体" w:cs="Times New Roman"/>
          <w:lang w:val="en-US" w:eastAsia="zh-CN"/>
        </w:rPr>
        <w:t>0.5%SOC所需的时间并存储，</w:t>
      </w:r>
      <w:r>
        <w:rPr>
          <w:rFonts w:hint="eastAsia"/>
          <w:lang w:val="en-US" w:eastAsia="zh-CN"/>
        </w:rPr>
        <w:t>再次上电后开启均衡，并计算剩余均衡时间，当均衡时间归零时关闭均衡。</w:t>
      </w:r>
    </w:p>
    <w:p>
      <w:pPr>
        <w:rPr>
          <w:rFonts w:hint="eastAsia" w:ascii="宋体" w:eastAsia="宋体" w:cs="宋体"/>
          <w:color w:val="C00000"/>
          <w:kern w:val="0"/>
          <w:lang w:val="en-US" w:eastAsia="zh-CN"/>
        </w:rPr>
      </w:pPr>
      <w:r>
        <w:rPr>
          <w:rFonts w:hint="eastAsia"/>
          <w:lang w:val="en-US" w:eastAsia="zh-CN"/>
        </w:rPr>
        <w:t>动态均衡：行车/充电时，</w:t>
      </w:r>
      <w:r>
        <w:rPr>
          <w:rFonts w:hint="eastAsia" w:ascii="宋体" w:eastAsia="宋体" w:cs="宋体"/>
          <w:color w:val="000000"/>
          <w:kern w:val="0"/>
          <w:lang w:val="zh-CN"/>
        </w:rPr>
        <w:t>将每个电芯与其所在</w:t>
      </w:r>
      <w:r>
        <w:rPr>
          <w:rFonts w:hint="eastAsia" w:ascii="宋体" w:eastAsia="宋体" w:cs="宋体"/>
          <w:color w:val="000000"/>
          <w:kern w:val="0"/>
          <w:lang w:val="en-US" w:eastAsia="zh-CN"/>
        </w:rPr>
        <w:t>支路</w:t>
      </w:r>
      <w:r>
        <w:rPr>
          <w:rFonts w:hint="eastAsia" w:ascii="宋体" w:eastAsia="宋体" w:cs="宋体"/>
          <w:color w:val="000000"/>
          <w:kern w:val="0"/>
          <w:lang w:val="zh-CN"/>
        </w:rPr>
        <w:t>最小电压作比较，当电压差</w:t>
      </w:r>
      <w:r>
        <w:rPr>
          <w:rFonts w:hint="eastAsia" w:ascii="宋体" w:eastAsia="宋体" w:cs="宋体"/>
          <w:color w:val="000000"/>
          <w:kern w:val="0"/>
          <w:lang w:val="en-US" w:eastAsia="zh-CN"/>
        </w:rPr>
        <w:t>大于</w:t>
      </w:r>
      <w:r>
        <w:rPr>
          <w:rFonts w:hint="eastAsia" w:ascii="宋体" w:eastAsia="宋体" w:cs="宋体"/>
          <w:color w:val="000000"/>
          <w:kern w:val="0"/>
          <w:lang w:val="zh-CN"/>
        </w:rPr>
        <w:t>相关阈值时则关闭这个电芯的均衡，小于相关阈值时则关闭这个电芯的均衡。</w:t>
      </w:r>
      <w:r>
        <w:rPr>
          <w:rFonts w:hint="eastAsia" w:ascii="宋体" w:eastAsia="宋体" w:cs="宋体"/>
          <w:color w:val="000000"/>
          <w:kern w:val="0"/>
          <w:lang w:val="en-US" w:eastAsia="zh-CN"/>
        </w:rPr>
        <w:t>阈值与支路电芯温差相关。</w:t>
      </w:r>
      <w:r>
        <w:rPr>
          <w:rFonts w:hint="eastAsia" w:ascii="宋体" w:eastAsia="宋体" w:cs="宋体"/>
          <w:color w:val="C00000"/>
          <w:kern w:val="0"/>
          <w:lang w:val="en-US" w:eastAsia="zh-CN"/>
        </w:rPr>
        <w:t>行车时，动态均衡不影响持续均衡的开启和关闭。</w:t>
      </w:r>
    </w:p>
    <w:p>
      <w:pPr>
        <w:rPr>
          <w:rFonts w:hint="eastAsia" w:ascii="宋体" w:eastAsia="宋体" w:cs="宋体"/>
          <w:color w:val="C00000"/>
          <w:kern w:val="0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1"/>
        <w:gridCol w:w="1101"/>
        <w:gridCol w:w="1217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7" w:hRule="atLeast"/>
        </w:trPr>
        <w:tc>
          <w:tcPr>
            <w:tcW w:w="1331" w:type="dxa"/>
          </w:tcPr>
          <w:p>
            <w:pPr>
              <w:ind w:firstLine="630" w:firstLineChars="300"/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温差</w:t>
            </w:r>
          </w:p>
          <w:p>
            <w:pP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模式</w:t>
            </w:r>
          </w:p>
        </w:tc>
        <w:tc>
          <w:tcPr>
            <w:tcW w:w="1101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0℃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5℃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10℃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15℃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20℃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30℃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1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行车</w:t>
            </w:r>
          </w:p>
        </w:tc>
        <w:tc>
          <w:tcPr>
            <w:tcW w:w="1101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25mV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30mV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35mV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40mV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45mV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50mV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1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充电</w:t>
            </w:r>
          </w:p>
        </w:tc>
        <w:tc>
          <w:tcPr>
            <w:tcW w:w="1101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20mV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25mV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30mV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35mV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40mV</w:t>
            </w:r>
          </w:p>
        </w:tc>
        <w:tc>
          <w:tcPr>
            <w:tcW w:w="1217" w:type="dxa"/>
          </w:tcPr>
          <w:p>
            <w:pPr>
              <w:rPr>
                <w:rFonts w:hint="default" w:ascii="宋体" w:eastAsia="宋体" w:cs="宋体"/>
                <w:color w:val="auto"/>
                <w:kern w:val="0"/>
                <w:vertAlign w:val="baseline"/>
                <w:lang w:val="en-US" w:eastAsia="zh-CN"/>
              </w:rPr>
            </w:pPr>
            <w:r>
              <w:rPr>
                <w:rFonts w:hint="eastAsia" w:ascii="宋体" w:eastAsia="宋体" w:cs="宋体"/>
                <w:color w:val="auto"/>
                <w:kern w:val="0"/>
                <w:vertAlign w:val="baseline"/>
                <w:lang w:val="en-US" w:eastAsia="zh-CN"/>
              </w:rPr>
              <w:t>45mV</w:t>
            </w:r>
            <w:bookmarkStart w:id="0" w:name="_GoBack"/>
            <w:bookmarkEnd w:id="0"/>
          </w:p>
        </w:tc>
      </w:tr>
    </w:tbl>
    <w:p>
      <w:pPr>
        <w:rPr>
          <w:rFonts w:hint="default" w:ascii="宋体" w:eastAsia="宋体" w:cs="宋体"/>
          <w:color w:val="C00000"/>
          <w:kern w:val="0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宋体" w:eastAsia="宋体" w:cs="宋体"/>
          <w:color w:val="000000"/>
          <w:kern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5NGNhZWYxNzA5MDQ4NGVjNDg2OGYyZTUzMzJjMjcifQ=="/>
  </w:docVars>
  <w:rsids>
    <w:rsidRoot w:val="00000000"/>
    <w:rsid w:val="365B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2024-01-05T07:37:34Z</dcterms:created>
  <dc:creator>Administrator</dc:creator>
  <cp:lastModifiedBy>Silent Hill</cp:lastModifiedBy>
  <dcterms:modified xsi:type="dcterms:W3CDTF">2024-01-05T09:20:49Z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F43B316E91814059AF1F562E87FEEB18_12</vt:lpwstr>
  </property>
</Properties>
</file>