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B7C27">
      <w:pPr>
        <w:pStyle w:val="27"/>
        <w:rPr>
          <w:rFonts w:ascii="Times New Roman" w:hAnsi="Times New Roman" w:cs="宋体"/>
          <w:b/>
          <w:bCs/>
          <w:sz w:val="28"/>
          <w:szCs w:val="28"/>
        </w:rPr>
      </w:pPr>
      <w:r>
        <w:rPr>
          <w:rFonts w:hint="eastAsia" w:ascii="Times New Roman" w:hAnsi="Times New Roman" w:cs="宋体"/>
          <w:b/>
          <w:bCs/>
          <w:sz w:val="28"/>
          <w:szCs w:val="28"/>
        </w:rPr>
        <w:t>一、背景技术</w:t>
      </w:r>
    </w:p>
    <w:p w14:paraId="4FD6CBCB">
      <w:pPr>
        <w:pStyle w:val="27"/>
        <w:ind w:firstLine="480" w:firstLineChars="200"/>
        <w:rPr>
          <w:rFonts w:ascii="Times New Roman" w:hAnsi="Times New Roman" w:cs="宋体"/>
          <w:kern w:val="2"/>
          <w:szCs w:val="24"/>
        </w:rPr>
      </w:pPr>
      <w:r>
        <w:rPr>
          <w:rFonts w:ascii="Times New Roman" w:hAnsi="Times New Roman"/>
        </w:rPr>
        <w:t>锂离子电池广泛用于新能源汽车、储能电站、便携式电子设备、无人系统和航空航天系统。电池在反复充放电过程中会发生活性材料损失、锂离子库存损失、界面膜增长、极化增强、内阻升高和可用容量下降等不可逆老化。老化速度受电池材料、制造差异、充放电倍率、温度和使用工况共同影响，同一型号电池也可能表现出不同的退化轨迹。</w:t>
      </w:r>
    </w:p>
    <w:p w14:paraId="7E550C99">
      <w:pPr>
        <w:pStyle w:val="27"/>
        <w:ind w:firstLine="480" w:firstLineChars="200"/>
        <w:rPr>
          <w:rFonts w:ascii="Times New Roman" w:hAnsi="Times New Roman" w:cs="宋体"/>
          <w:kern w:val="2"/>
          <w:szCs w:val="24"/>
        </w:rPr>
      </w:pPr>
      <w:r>
        <w:rPr>
          <w:rFonts w:ascii="Times New Roman" w:hAnsi="Times New Roman"/>
        </w:rPr>
        <w:t>因此，在有限的早期循环观测条件下准确预测电池剩余使用寿命，对于制定维护计划、进行寿命分级、筛查异常电池和保障系统安全具有重要意义。剩余使用寿命（Remaining Useful Life，RUL）表示从当前观测时刻起至电池达到预设寿命终止条件之前仍可完成的充放电循环数。设达到寿命终止条件的循环位置为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，当前观测循环位置为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，则：</w:t>
      </w:r>
    </w:p>
    <w:p w14:paraId="367611BE">
      <w:pPr>
        <w:ind w:firstLine="440"/>
        <w:rPr>
          <w:rFonts w:ascii="Times New Roman" w:hAnsi="Times New Roman"/>
        </w:rPr>
      </w:pPr>
      <w:r>
        <w:rPr>
          <w:rFonts w:ascii="Times New Roman" w:hAnsi="Times New Roman"/>
        </w:rPr>
        <w:t>剩余使用寿命由寿命终止循环位置与当前观测循环位置之差确定，其定义如公式（1）所示：</w:t>
      </w:r>
    </w:p>
    <w:p w14:paraId="1FD15254">
      <w:pPr>
        <w:jc w:val="center"/>
        <w:rPr>
          <w:rFonts w:ascii="Times New Roman" w:hAnsi="Times New Roman"/>
        </w:rPr>
      </w:pPr>
      <m:oMath>
        <m:r>
          <m:rPr/>
          <w:rPr>
            <w:rFonts w:ascii="Cambria Math" w:hAnsi="Cambria Math"/>
          </w:rPr>
          <m:t>RUL=</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（1）</w:t>
      </w:r>
    </w:p>
    <w:p w14:paraId="6C4B981D">
      <w:pPr>
        <w:ind w:firstLine="440"/>
        <w:rPr>
          <w:rFonts w:ascii="Times New Roman" w:hAnsi="Times New Roman"/>
        </w:rPr>
      </w:pPr>
      <w:r>
        <w:rPr>
          <w:rFonts w:ascii="Times New Roman" w:hAnsi="Times New Roman"/>
        </w:rPr>
        <w:t>其中，RUL表示从当前观测循环至寿命终止条件还可完成的循环数；</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表示达到寿命终止条件的循环位置；</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oMath>
      <w:r>
        <w:rPr>
          <w:rFonts w:ascii="Times New Roman" w:hAnsi="Times New Roman"/>
        </w:rPr>
        <w:t>表示当前观测窗口的起始循环位置，三者采用同一循环索引基准。</w:t>
      </w:r>
    </w:p>
    <w:p w14:paraId="3C502706">
      <w:pPr>
        <w:pStyle w:val="27"/>
        <w:ind w:firstLine="482" w:firstLineChars="200"/>
        <w:rPr>
          <w:rFonts w:ascii="Times New Roman" w:hAnsi="Times New Roman" w:cs="宋体"/>
          <w:b/>
          <w:bCs/>
          <w:kern w:val="2"/>
          <w:szCs w:val="24"/>
        </w:rPr>
      </w:pPr>
      <w:r>
        <w:rPr>
          <w:rFonts w:hint="eastAsia" w:ascii="Times New Roman" w:hAnsi="Times New Roman" w:cs="宋体"/>
          <w:b/>
          <w:bCs/>
          <w:kern w:val="2"/>
          <w:szCs w:val="24"/>
        </w:rPr>
        <w:t>2、</w:t>
      </w:r>
      <w:r>
        <w:rPr>
          <w:rFonts w:ascii="Times New Roman" w:hAnsi="Times New Roman" w:cs="宋体"/>
          <w:b/>
          <w:bCs/>
          <w:kern w:val="2"/>
          <w:szCs w:val="24"/>
        </w:rPr>
        <w:t>常见算法</w:t>
      </w:r>
    </w:p>
    <w:p w14:paraId="69F5E818">
      <w:pPr>
        <w:pStyle w:val="27"/>
        <w:ind w:firstLine="480" w:firstLineChars="200"/>
        <w:rPr>
          <w:rFonts w:ascii="Times New Roman" w:hAnsi="Times New Roman" w:cs="宋体"/>
          <w:kern w:val="2"/>
          <w:szCs w:val="24"/>
        </w:rPr>
      </w:pPr>
      <w:r>
        <w:rPr>
          <w:rFonts w:ascii="Times New Roman" w:hAnsi="Times New Roman"/>
        </w:rPr>
        <w:t>2.1非深度学习算法</w:t>
      </w:r>
    </w:p>
    <w:p w14:paraId="19D5D589">
      <w:pPr>
        <w:pStyle w:val="27"/>
        <w:ind w:firstLine="480" w:firstLineChars="200"/>
        <w:rPr>
          <w:rFonts w:ascii="Times New Roman" w:hAnsi="Times New Roman" w:cs="宋体"/>
          <w:kern w:val="2"/>
          <w:szCs w:val="24"/>
        </w:rPr>
      </w:pPr>
      <w:r>
        <w:rPr>
          <w:rFonts w:ascii="Times New Roman" w:hAnsi="Times New Roman"/>
        </w:rPr>
        <w:t>在已有研究和工程实践中，常用的非深度学习方法包括Ridge岭回归、PCR主成分回归和PLSR偏最小二乘回归。Ridge通过L2正则化抑制参数过大，适合在样本较少、特征相关性较强时建立稳定的线性回归关系；但其线性映射通常需要先把循环曲线压缩为固定长度特征，难以描述局部平台移动、斜率变化等非线性退化征兆。PCR先按特征方差进行主成分降维，再用主成分回归RUL，能够缓解高维特征共线性，但方差大的方向不一定是寿命敏感方向，低方差但具有关键退化信息的局部变化可能在降维时被丢弃。PLSR通过最大化特征与寿命标签的协方差选择潜变量，较PCR更关注监督信息，但其潜变量和回归关系仍通常是固定的线性变换，难以同时表达非平稳局部模式、完整变量轨迹以及变量之间的高阶耦合。</w:t>
      </w:r>
    </w:p>
    <w:p w14:paraId="3B6DA310">
      <w:pPr>
        <w:pStyle w:val="27"/>
        <w:ind w:firstLine="480" w:firstLineChars="200"/>
        <w:rPr>
          <w:rFonts w:ascii="Times New Roman" w:hAnsi="Times New Roman" w:cs="宋体"/>
          <w:kern w:val="2"/>
          <w:szCs w:val="24"/>
        </w:rPr>
      </w:pPr>
      <w:r>
        <w:rPr>
          <w:rFonts w:ascii="Times New Roman" w:hAnsi="Times New Roman"/>
        </w:rPr>
        <w:t>2.2深度学习算法</w:t>
      </w:r>
    </w:p>
    <w:p w14:paraId="781582C9">
      <w:pPr>
        <w:pStyle w:val="27"/>
        <w:ind w:firstLine="480" w:firstLineChars="200"/>
        <w:rPr>
          <w:rFonts w:ascii="Times New Roman" w:hAnsi="Times New Roman" w:cs="宋体"/>
          <w:kern w:val="2"/>
          <w:szCs w:val="24"/>
        </w:rPr>
      </w:pPr>
      <w:r>
        <w:rPr>
          <w:rFonts w:ascii="Times New Roman" w:hAnsi="Times New Roman" w:cs="宋体"/>
          <w:kern w:val="2"/>
          <w:szCs w:val="24"/>
        </w:rPr>
        <w:t>常用的深度学习方法包括CNN卷积神经网络、LSTM长短期记忆网络和MLP多层感知机。CNN能够通过卷积核提取局部邻域模式，但卷积感受野、步长和池化规则在训练后固定，不能根据不同电池或退化阶段动态选择寿命敏感片段；当局部征兆分布在较长循环窗口中时，连续下采样还可能削弱其位置和幅值信息。LSTM通过递归隐状态表达循环序列的时间依赖，但长窗口中的局部突变可能在多次状态更新后被稀释，且多变量之间的关系被混合在时间递归过程中，难以形成清晰的变量级交互表示。MLP具有较强的非线性拟合能力，但若将多循环曲线直接展平为向量，循环顺序、局部邻接关系和各变量的轨迹语义会被弱化；其常用的固定拼接或固定池化也不能随样本变化调整不同片段和变量的贡献。</w:t>
      </w:r>
    </w:p>
    <w:p w14:paraId="6C476163">
      <w:pPr>
        <w:pStyle w:val="27"/>
        <w:ind w:firstLine="482" w:firstLineChars="200"/>
        <w:rPr>
          <w:rFonts w:ascii="Times New Roman" w:hAnsi="Times New Roman" w:cs="宋体"/>
          <w:b/>
          <w:bCs/>
          <w:kern w:val="2"/>
          <w:szCs w:val="24"/>
        </w:rPr>
      </w:pPr>
      <w:r>
        <w:rPr>
          <w:rFonts w:hint="eastAsia" w:ascii="Times New Roman" w:hAnsi="Times New Roman" w:cs="宋体"/>
          <w:b/>
          <w:bCs/>
          <w:kern w:val="2"/>
          <w:szCs w:val="24"/>
        </w:rPr>
        <w:t>3、相关文献</w:t>
      </w:r>
    </w:p>
    <w:p w14:paraId="09700349">
      <w:pPr>
        <w:pStyle w:val="27"/>
        <w:ind w:firstLine="480" w:firstLineChars="200"/>
        <w:rPr>
          <w:rFonts w:ascii="Times New Roman" w:hAnsi="Times New Roman" w:cs="宋体"/>
          <w:kern w:val="2"/>
          <w:szCs w:val="24"/>
        </w:rPr>
      </w:pPr>
      <w:r>
        <w:rPr>
          <w:rFonts w:ascii="Times New Roman" w:hAnsi="Times New Roman"/>
        </w:rPr>
        <w:t>专利《基于融合特征的锂离子电池剩余使用寿命预测方法》公开了一种基于人工健康因子和循环网络的方案：从恒流充电时间、恒压充电时间及充电曲线中派生健康因子，经异常值处理、Savitzky-Golay平滑、Pearson相关性分析和序列前向搜索筛选特征，再利用BiGRU和鱼鹰优化算法进行寿命预测。该方案能够利用经验特征描述总体退化趋势，但其主要输入是预先汇总的标量健康因子，原始循环曲线中的局部平台变化和短时突变难以直接保留；BiGRU沿时间递归建模，也没有将每个变量的完整轨迹与变量间耦合放入同一可对齐表示；鱼鹰优化用于参数寻优，不能替代针对每个电池样本的片段级和变量级特征选择。</w:t>
      </w:r>
    </w:p>
    <w:p w14:paraId="293AC5C9">
      <w:pPr>
        <w:pStyle w:val="27"/>
        <w:ind w:firstLine="480" w:firstLineChars="200"/>
        <w:rPr>
          <w:rFonts w:ascii="Times New Roman" w:hAnsi="Times New Roman" w:cs="宋体"/>
          <w:kern w:val="2"/>
          <w:szCs w:val="24"/>
        </w:rPr>
      </w:pPr>
      <w:r>
        <w:rPr>
          <w:rFonts w:ascii="Times New Roman" w:hAnsi="Times New Roman" w:cs="宋体"/>
          <w:kern w:val="2"/>
          <w:szCs w:val="24"/>
        </w:rPr>
        <w:t>专利《一种基于集成Transformer模型的锂离子电池寿命预测方法》公开了一种多模块集成方案：将领域手工特征、CNN提取的特征以及带去噪自动编码器的Transformer特征进行拼接，并结合余弦退火、随机权重平均和分位数回归实现点预测及区间预测。该方案扩展了特征来源并考虑了预测不确定性，但不同模型产生的特征通常在模型输出层进行固定拼接或加权，未显式构造由同一潜在变量序列产生的局部片段表示和完整变量轨迹表示；同时没有针对当前电池样本计算片段级和变量级Softmax权重，因而仍可能把冗余片段、弱相关变量和测量噪声一并传递至寿命回归。</w:t>
      </w:r>
    </w:p>
    <w:p w14:paraId="4EC287AF">
      <w:pPr>
        <w:pStyle w:val="27"/>
        <w:ind w:firstLine="482" w:firstLineChars="200"/>
        <w:rPr>
          <w:rFonts w:ascii="Times New Roman" w:hAnsi="Times New Roman" w:cs="宋体"/>
          <w:b/>
          <w:bCs/>
          <w:kern w:val="2"/>
          <w:szCs w:val="24"/>
        </w:rPr>
      </w:pPr>
      <w:r>
        <w:rPr>
          <w:rFonts w:ascii="Times New Roman" w:hAnsi="Times New Roman" w:cs="宋体"/>
          <w:b/>
          <w:bCs/>
          <w:kern w:val="2"/>
          <w:szCs w:val="24"/>
        </w:rPr>
        <w:t>4. 现有技术存在的问题</w:t>
      </w:r>
    </w:p>
    <w:p w14:paraId="17DC3259">
      <w:pPr>
        <w:pStyle w:val="27"/>
        <w:ind w:firstLine="480" w:firstLineChars="200"/>
        <w:rPr>
          <w:rFonts w:ascii="Times New Roman" w:hAnsi="Times New Roman" w:cs="宋体"/>
          <w:kern w:val="2"/>
          <w:szCs w:val="24"/>
        </w:rPr>
      </w:pPr>
      <w:r>
        <w:rPr>
          <w:rFonts w:ascii="Times New Roman" w:hAnsi="Times New Roman" w:cs="宋体"/>
          <w:kern w:val="2"/>
          <w:szCs w:val="24"/>
        </w:rPr>
        <w:t>1. 局部退化征兆在长序列中被稀释。 容量差分、放电平台移动和电压斜率变化等寿命征兆可能只出现在若干相邻循环，直接对完整早期序列进行一次性压缩，或依赖固定卷积、递归状态进行汇总，会使这些局部变化被平稳循环淹没。</w:t>
      </w:r>
    </w:p>
    <w:p w14:paraId="758437C7">
      <w:pPr>
        <w:pStyle w:val="27"/>
        <w:ind w:firstLine="480" w:firstLineChars="200"/>
        <w:rPr>
          <w:rFonts w:ascii="Times New Roman" w:hAnsi="Times New Roman" w:cs="宋体"/>
          <w:kern w:val="2"/>
          <w:szCs w:val="24"/>
        </w:rPr>
      </w:pPr>
      <w:r>
        <w:rPr>
          <w:rFonts w:ascii="Times New Roman" w:hAnsi="Times New Roman" w:cs="宋体"/>
          <w:kern w:val="2"/>
          <w:szCs w:val="24"/>
        </w:rPr>
        <w:t>2. 长期变量轨迹与跨变量耦合难以同时表达。 电压、容量、电流、温度和内阻等退化变量既具有各自的完整循环演化趋势，又存在协同变化；仅沿循环时间轴建模、仅使用独立统计特征或仅在模型输出层拼接，难以形成统一、可比较并可建立交互关系的变量表示。</w:t>
      </w:r>
    </w:p>
    <w:p w14:paraId="6C5CB704">
      <w:pPr>
        <w:pStyle w:val="27"/>
        <w:ind w:firstLine="480" w:firstLineChars="200"/>
        <w:rPr>
          <w:rFonts w:ascii="Times New Roman" w:hAnsi="Times New Roman" w:cs="宋体"/>
          <w:kern w:val="2"/>
          <w:szCs w:val="24"/>
        </w:rPr>
      </w:pPr>
      <w:r>
        <w:rPr>
          <w:rFonts w:ascii="Times New Roman" w:hAnsi="Times New Roman" w:cs="宋体"/>
          <w:kern w:val="2"/>
          <w:szCs w:val="24"/>
        </w:rPr>
        <w:t>3. 固定融合无法按样本选择寿命敏感信息。 不同电池和退化阶段的有效片段、有效变量并不相同，直接相加、平均、固定拼接或使用与样本无关的模型权重，会把冗余和噪声信息一并送入回归，导致模型对个体差异和工况变化适应不足。</w:t>
      </w:r>
    </w:p>
    <w:p w14:paraId="7D1F71C7">
      <w:pPr>
        <w:pStyle w:val="27"/>
        <w:spacing w:before="156" w:beforeLines="50" w:line="360" w:lineRule="exact"/>
        <w:ind w:firstLine="482" w:firstLineChars="200"/>
        <w:rPr>
          <w:rFonts w:hint="eastAsia" w:ascii="宋体" w:hAnsi="宋体" w:cs="宋体"/>
          <w:b/>
          <w:bCs/>
          <w:kern w:val="2"/>
          <w:szCs w:val="24"/>
        </w:rPr>
      </w:pPr>
    </w:p>
    <w:p w14:paraId="130396F0">
      <w:pPr>
        <w:pStyle w:val="27"/>
        <w:spacing w:before="156" w:beforeLines="50" w:line="360" w:lineRule="exact"/>
        <w:ind w:firstLine="482" w:firstLineChars="200"/>
        <w:rPr>
          <w:rFonts w:hint="eastAsia" w:ascii="宋体" w:hAnsi="宋体" w:cs="宋体"/>
          <w:b/>
          <w:bCs/>
          <w:kern w:val="2"/>
          <w:szCs w:val="24"/>
        </w:rPr>
      </w:pPr>
    </w:p>
    <w:p w14:paraId="41938340">
      <w:pPr>
        <w:pStyle w:val="2"/>
        <w:spacing w:before="0" w:after="0" w:line="240" w:lineRule="auto"/>
        <w:ind w:left="0" w:firstLine="284"/>
        <w:rPr>
          <w:rFonts w:ascii="Times New Roman" w:hAnsi="Times New Roman"/>
          <w:lang w:eastAsia="zh-CN"/>
        </w:rPr>
      </w:pPr>
      <w:r>
        <w:rPr>
          <w:rFonts w:ascii="Times New Roman" w:hAnsi="Times New Roman"/>
        </w:rPr>
        <w:t>二、创新方案</w:t>
      </w:r>
    </w:p>
    <w:p w14:paraId="6474A13E">
      <w:pPr>
        <w:ind w:firstLine="420" w:firstLineChars="200"/>
        <w:rPr>
          <w:rFonts w:ascii="Times New Roman" w:hAnsi="Times New Roman"/>
        </w:rPr>
      </w:pPr>
      <w:r>
        <w:rPr>
          <w:rFonts w:hint="eastAsia" w:ascii="Times New Roman" w:hAnsi="Times New Roman"/>
        </w:rPr>
        <w:t>摘要：</w:t>
      </w:r>
    </w:p>
    <w:p w14:paraId="2E2E0B45">
      <w:pPr>
        <w:ind w:firstLine="420" w:firstLineChars="200"/>
        <w:rPr>
          <w:rFonts w:ascii="Times New Roman" w:hAnsi="Times New Roman"/>
        </w:rPr>
      </w:pPr>
      <w:r>
        <w:rPr>
          <w:rFonts w:hint="eastAsia" w:ascii="Times New Roman" w:hAnsi="Times New Roman"/>
        </w:rPr>
        <w:t>本发明公开了一种基于双支路自适应特征融合变换器DAFF-Former的锂离子电池剩余使用寿命预测方法，属于锂离子电池状态评估与寿命预测技术领域。该方法首先获取锂离子电池早期充放电循环数据，对放电阶段的电压、容量及其他运行特征进行有效采样筛选、统一电压位置插值、参考循环差分和鲁棒异常处理，并根据寿命终止容量条件生成剩余使用寿命标签；随后将多通道循环特征整理为循环序列，通过共享线性投影映射至潜在变量空间，并沿循环维度执行样本级归一化。对归一化后的潜在变量序列分别构建局部循环片段支路和完整循环轨迹支路：局部循环片段支路通过滑动切片、片段嵌入、位置编码和片段变换器提取局部退化特征，并利用片段级自适应权重进行聚合；完整循环轨迹支路保留每个潜在变量在整个早期观测窗口内的循环轨迹，通过轨迹嵌入提取长期退化趋势。将两个支路中具有相同潜在变量索引的特征进行对齐、拼接和非线性融合，再通过变量关系变换器建立潜在变量之间的耦合关系，并利用变量级自适应权重聚合寿命敏感信息，最终经RUL回归头输出剩余使用寿命预测结果。本发明能够同时表征局部退化征兆、长期退化趋势及跨变量耦合关系，并根据不同电池样本和退化阶段自适应选择有效特征，从而提高早期观测条件下锂离子电池剩余使用寿命预测的准确性、稳定性和适应性。</w:t>
      </w:r>
    </w:p>
    <w:p w14:paraId="5501C34D">
      <w:pPr>
        <w:ind w:firstLine="420" w:firstLineChars="200"/>
        <w:rPr>
          <w:rFonts w:hint="eastAsia" w:ascii="Times New Roman" w:hAnsi="Times New Roman"/>
        </w:rPr>
      </w:pPr>
      <w:r>
        <w:rPr>
          <w:rFonts w:ascii="Times New Roman" w:hAnsi="Times New Roman"/>
        </w:rPr>
        <w:drawing>
          <wp:inline distT="0" distB="0" distL="0" distR="0">
            <wp:extent cx="3314065" cy="4117340"/>
            <wp:effectExtent l="0" t="0" r="635" b="0"/>
            <wp:docPr id="51966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6390"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14065" cy="4117340"/>
                    </a:xfrm>
                    <a:prstGeom prst="rect">
                      <a:avLst/>
                    </a:prstGeom>
                    <a:noFill/>
                    <a:ln>
                      <a:noFill/>
                    </a:ln>
                  </pic:spPr>
                </pic:pic>
              </a:graphicData>
            </a:graphic>
          </wp:inline>
        </w:drawing>
      </w:r>
    </w:p>
    <w:p w14:paraId="377322CC">
      <w:pPr>
        <w:pStyle w:val="4"/>
        <w:rPr>
          <w:rFonts w:ascii="Times New Roman" w:hAnsi="Times New Roman" w:eastAsia="宋体"/>
        </w:rPr>
      </w:pPr>
      <w:r>
        <w:rPr>
          <w:rFonts w:ascii="Times New Roman" w:hAnsi="Times New Roman" w:eastAsia="宋体"/>
        </w:rPr>
        <w:t>1.发明目的</w:t>
      </w:r>
    </w:p>
    <w:p w14:paraId="570AAB16">
      <w:pPr>
        <w:ind w:firstLine="440"/>
        <w:rPr>
          <w:rFonts w:ascii="Times New Roman" w:hAnsi="Times New Roman"/>
        </w:rPr>
      </w:pPr>
      <w:commentRangeStart w:id="0"/>
      <w:r>
        <w:rPr>
          <w:rFonts w:ascii="Times New Roman" w:hAnsi="Times New Roman"/>
        </w:rPr>
        <w:t>本发明提供一种基于双支路自适应特征融合变换器DAFF-Former的锂离子电池剩余使用寿命预测方法。该方法针对局部退化征兆在长序列中被稀释、长期变量轨迹与跨变量耦合难以同时表达、固定融合无法按样本选择寿命敏感信息三个问题，建立从循环数据构造、潜在变量表示、双支路编码到自适应回归的完整技术链路。</w:t>
      </w:r>
      <w:commentRangeEnd w:id="0"/>
      <w:r>
        <w:commentReference w:id="0"/>
      </w:r>
    </w:p>
    <w:p w14:paraId="4F524B59">
      <w:pPr>
        <w:pStyle w:val="4"/>
        <w:rPr>
          <w:rFonts w:ascii="Times New Roman" w:hAnsi="Times New Roman" w:eastAsia="宋体"/>
        </w:rPr>
      </w:pPr>
      <w:r>
        <w:rPr>
          <w:rFonts w:ascii="Times New Roman" w:hAnsi="Times New Roman" w:eastAsia="宋体"/>
        </w:rPr>
        <w:t>2.总体技术构思</w:t>
      </w:r>
    </w:p>
    <w:p w14:paraId="232185CD">
      <w:pPr>
        <w:ind w:firstLine="440"/>
        <w:rPr>
          <w:rFonts w:ascii="Times New Roman" w:hAnsi="Times New Roman"/>
        </w:rPr>
      </w:pPr>
      <w:r>
        <w:rPr>
          <w:rFonts w:ascii="Times New Roman" w:hAnsi="Times New Roman"/>
        </w:rPr>
        <w:t>所述方法将早期循环观测数据组织为循环序列，并通过共享映射形成潜在变量循环序列。该序列同时输入两个互补支路：</w:t>
      </w:r>
    </w:p>
    <w:p w14:paraId="5816D599">
      <w:pPr>
        <w:ind w:firstLine="440"/>
        <w:rPr>
          <w:rFonts w:ascii="Times New Roman" w:hAnsi="Times New Roman"/>
        </w:rPr>
      </w:pPr>
      <w:r>
        <w:rPr>
          <w:rFonts w:hint="eastAsia" w:ascii="Times New Roman" w:hAnsi="Times New Roman"/>
        </w:rPr>
        <w:t>1、</w:t>
      </w:r>
      <w:r>
        <w:rPr>
          <w:rFonts w:ascii="Times New Roman" w:hAnsi="Times New Roman"/>
        </w:rPr>
        <w:t>局部循环片段支路沿循环轴提取多个局部片段，通过片段变换器编码片段间依赖并依据当前样本计算片段权重；</w:t>
      </w:r>
    </w:p>
    <w:p w14:paraId="7F0D3D66">
      <w:pPr>
        <w:ind w:firstLine="440"/>
        <w:rPr>
          <w:rFonts w:ascii="Times New Roman" w:hAnsi="Times New Roman"/>
        </w:rPr>
      </w:pPr>
      <w:r>
        <w:rPr>
          <w:rFonts w:hint="eastAsia" w:ascii="Times New Roman" w:hAnsi="Times New Roman"/>
        </w:rPr>
        <w:t>2、</w:t>
      </w:r>
      <w:r>
        <w:rPr>
          <w:rFonts w:ascii="Times New Roman" w:hAnsi="Times New Roman"/>
        </w:rPr>
        <w:t>完整变量循环轨迹支路保留每个潜在变量在整个观测窗口内的轨迹，通过轨迹嵌入保留长期趋势</w:t>
      </w:r>
      <w:r>
        <w:rPr>
          <w:rFonts w:hint="eastAsia" w:ascii="Times New Roman" w:hAnsi="Times New Roman"/>
        </w:rPr>
        <w:t>。</w:t>
      </w:r>
    </w:p>
    <w:p w14:paraId="39F964B2">
      <w:pPr>
        <w:ind w:firstLine="440"/>
        <w:rPr>
          <w:rFonts w:ascii="Times New Roman" w:hAnsi="Times New Roman"/>
        </w:rPr>
      </w:pPr>
      <w:r>
        <w:rPr>
          <w:rFonts w:ascii="Times New Roman" w:hAnsi="Times New Roman"/>
        </w:rPr>
        <w:t>两支路按潜在变量索引对齐后进行通道拼接和非线性融合，融合结果沿变量维输入变量关系变换器，以建立跨变量耦合关系，再通过变量级权重聚合并回归输出RUL。片段级权重和变量级权重均由对应编码结果计算，权重归一化范围分别限定在同一潜在变量的片段集合和同一样本的变量集合内。</w:t>
      </w:r>
    </w:p>
    <w:p w14:paraId="2F98D735">
      <w:pPr>
        <w:pStyle w:val="4"/>
        <w:rPr>
          <w:rFonts w:ascii="Times New Roman" w:hAnsi="Times New Roman" w:eastAsia="宋体"/>
        </w:rPr>
      </w:pPr>
      <w:r>
        <w:rPr>
          <w:rFonts w:ascii="Times New Roman" w:hAnsi="Times New Roman" w:eastAsia="宋体"/>
        </w:rPr>
        <w:t>3.方法流程总览</w:t>
      </w:r>
    </w:p>
    <w:p w14:paraId="1584DE3A">
      <w:pPr>
        <w:ind w:firstLine="440"/>
        <w:rPr>
          <w:rFonts w:ascii="Times New Roman" w:hAnsi="Times New Roman"/>
        </w:rPr>
      </w:pPr>
      <w:r>
        <w:rPr>
          <w:rFonts w:ascii="Times New Roman" w:hAnsi="Times New Roman"/>
        </w:rPr>
        <w:t>S1：获取电池早期循环运行数据，统一循环曲线的长度和采样位置，构造退化特征并生成RUL标签。</w:t>
      </w:r>
    </w:p>
    <w:p w14:paraId="254E25F9">
      <w:pPr>
        <w:ind w:firstLine="440"/>
        <w:rPr>
          <w:rFonts w:ascii="Times New Roman" w:hAnsi="Times New Roman"/>
        </w:rPr>
      </w:pPr>
      <w:r>
        <w:rPr>
          <w:rFonts w:ascii="Times New Roman" w:hAnsi="Times New Roman"/>
        </w:rPr>
        <w:t>S2：整理输入张量，将每个循环的原始特征映射到共享潜在变量空间，得到潜在变量循环序列。</w:t>
      </w:r>
    </w:p>
    <w:p w14:paraId="42137F33">
      <w:pPr>
        <w:ind w:firstLine="440"/>
        <w:rPr>
          <w:rFonts w:ascii="Times New Roman" w:hAnsi="Times New Roman"/>
        </w:rPr>
      </w:pPr>
      <w:r>
        <w:rPr>
          <w:rFonts w:ascii="Times New Roman" w:hAnsi="Times New Roman"/>
        </w:rPr>
        <w:t>S3：针对每个样本沿循环维计算统计量并进行归一化，减小电池个体基线和量程差异。</w:t>
      </w:r>
    </w:p>
    <w:p w14:paraId="010394C8">
      <w:pPr>
        <w:ind w:firstLine="440"/>
        <w:rPr>
          <w:rFonts w:ascii="Times New Roman" w:hAnsi="Times New Roman"/>
        </w:rPr>
      </w:pPr>
      <w:r>
        <w:rPr>
          <w:rFonts w:ascii="Times New Roman" w:hAnsi="Times New Roman"/>
        </w:rPr>
        <w:t>S4：沿每个潜在变量的循环轨迹切分局部片段，经片段嵌入、位置编码、片段变换器和片段级Softmax得到局部表示。</w:t>
      </w:r>
    </w:p>
    <w:p w14:paraId="016F7A8D">
      <w:pPr>
        <w:ind w:firstLine="440"/>
        <w:rPr>
          <w:rFonts w:ascii="Times New Roman" w:hAnsi="Times New Roman"/>
        </w:rPr>
      </w:pPr>
      <w:r>
        <w:rPr>
          <w:rFonts w:ascii="Times New Roman" w:hAnsi="Times New Roman"/>
        </w:rPr>
        <w:t>S5：将每个潜在变量的完整早期循环轨迹作为变量标记，经轨迹嵌入得到长期轨迹表示。</w:t>
      </w:r>
    </w:p>
    <w:p w14:paraId="2CBD280D">
      <w:pPr>
        <w:ind w:firstLine="440"/>
        <w:rPr>
          <w:rFonts w:ascii="Times New Roman" w:hAnsi="Times New Roman"/>
        </w:rPr>
      </w:pPr>
      <w:r>
        <w:rPr>
          <w:rFonts w:ascii="Times New Roman" w:hAnsi="Times New Roman"/>
        </w:rPr>
        <w:t>S6：按变量索引融合两支路表示，进行变量关系编码、变量级Softmax聚合和RUL回归；训练时以预测误差更新参数，推理时输出预测RUL。</w:t>
      </w:r>
    </w:p>
    <w:p w14:paraId="6FB63BDE">
      <w:pPr>
        <w:pStyle w:val="4"/>
        <w:rPr>
          <w:rFonts w:ascii="Times New Roman" w:hAnsi="Times New Roman" w:eastAsia="宋体"/>
        </w:rPr>
      </w:pPr>
      <w:r>
        <w:rPr>
          <w:rFonts w:ascii="Times New Roman" w:hAnsi="Times New Roman" w:eastAsia="宋体"/>
        </w:rPr>
        <w:t>4.S1：数据获取、循环特征构造与标签生成</w:t>
      </w:r>
    </w:p>
    <w:p w14:paraId="3D23AD98">
      <w:pPr>
        <w:pStyle w:val="5"/>
        <w:rPr>
          <w:rFonts w:ascii="Times New Roman" w:hAnsi="Times New Roman"/>
        </w:rPr>
      </w:pPr>
      <w:r>
        <w:rPr>
          <w:rFonts w:ascii="Times New Roman" w:hAnsi="Times New Roman"/>
        </w:rPr>
        <w:t>4.1数据获取</w:t>
      </w:r>
    </w:p>
    <w:p w14:paraId="1CC77EB5">
      <w:pPr>
        <w:ind w:firstLine="440"/>
        <w:rPr>
          <w:rFonts w:ascii="Times New Roman" w:hAnsi="Times New Roman"/>
        </w:rPr>
      </w:pPr>
      <w:r>
        <w:rPr>
          <w:rFonts w:ascii="Times New Roman" w:hAnsi="Times New Roman"/>
        </w:rPr>
        <w:t>采集对象为待评估锂离子电池的充放电循环记录。每个循环可包含电压、电流、放电容量、充电容量、温度、时间、内阻以及由上述量计算得到的斜率、平台位置、积分量等派生特征。数据可来自电池管理系统、充放电测试设备、实验室循环仪或历史数据库。输入通道可以只有放电容量-电压曲线，也可以同时包含电流、温度、内阻和充电过程特征；多通道输入在进入共享投影前按照预先约定的通道顺序排列。</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4"/>
        <w:gridCol w:w="3255"/>
        <w:gridCol w:w="3255"/>
      </w:tblGrid>
      <w:tr w14:paraId="2D9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C549B1B">
            <w:pPr>
              <w:rPr>
                <w:rFonts w:ascii="Times New Roman" w:hAnsi="Times New Roman"/>
              </w:rPr>
            </w:pPr>
            <w:r>
              <w:rPr>
                <w:rFonts w:ascii="Times New Roman" w:hAnsi="Times New Roman"/>
                <w:b/>
              </w:rPr>
              <w:t>数据类别</w:t>
            </w:r>
          </w:p>
        </w:tc>
        <w:tc>
          <w:tcPr>
            <w:tcW w:w="3258" w:type="dxa"/>
          </w:tcPr>
          <w:p w14:paraId="44CF1ADF">
            <w:pPr>
              <w:rPr>
                <w:rFonts w:ascii="Times New Roman" w:hAnsi="Times New Roman"/>
              </w:rPr>
            </w:pPr>
            <w:r>
              <w:rPr>
                <w:rFonts w:ascii="Times New Roman" w:hAnsi="Times New Roman"/>
                <w:b/>
              </w:rPr>
              <w:t>典型数据内容</w:t>
            </w:r>
          </w:p>
        </w:tc>
        <w:tc>
          <w:tcPr>
            <w:tcW w:w="3258" w:type="dxa"/>
          </w:tcPr>
          <w:p w14:paraId="5846C277">
            <w:pPr>
              <w:rPr>
                <w:rFonts w:ascii="Times New Roman" w:hAnsi="Times New Roman"/>
              </w:rPr>
            </w:pPr>
            <w:r>
              <w:rPr>
                <w:rFonts w:ascii="Times New Roman" w:hAnsi="Times New Roman"/>
                <w:b/>
              </w:rPr>
              <w:t>作用</w:t>
            </w:r>
          </w:p>
        </w:tc>
      </w:tr>
      <w:tr w14:paraId="7D31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DA12D17">
            <w:pPr>
              <w:rPr>
                <w:rFonts w:ascii="Times New Roman" w:hAnsi="Times New Roman"/>
              </w:rPr>
            </w:pPr>
            <w:r>
              <w:rPr>
                <w:rFonts w:ascii="Times New Roman" w:hAnsi="Times New Roman"/>
              </w:rPr>
              <w:t>电压与容量</w:t>
            </w:r>
          </w:p>
        </w:tc>
        <w:tc>
          <w:tcPr>
            <w:tcW w:w="3258" w:type="dxa"/>
          </w:tcPr>
          <w:p w14:paraId="3B4BAD4A">
            <w:pPr>
              <w:rPr>
                <w:rFonts w:ascii="Times New Roman" w:hAnsi="Times New Roman"/>
              </w:rPr>
            </w:pPr>
            <w:r>
              <w:rPr>
                <w:rFonts w:ascii="Times New Roman" w:hAnsi="Times New Roman"/>
              </w:rPr>
              <w:t>放电电压、累计放电容量</w:t>
            </w:r>
          </w:p>
        </w:tc>
        <w:tc>
          <w:tcPr>
            <w:tcW w:w="3258" w:type="dxa"/>
          </w:tcPr>
          <w:p w14:paraId="6143B2DE">
            <w:pPr>
              <w:rPr>
                <w:rFonts w:ascii="Times New Roman" w:hAnsi="Times New Roman"/>
              </w:rPr>
            </w:pPr>
            <w:r>
              <w:rPr>
                <w:rFonts w:ascii="Times New Roman" w:hAnsi="Times New Roman"/>
              </w:rPr>
              <w:t>构造统一采样位置的循环退化曲线</w:t>
            </w:r>
          </w:p>
        </w:tc>
      </w:tr>
      <w:tr w14:paraId="042CB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C1E5B79">
            <w:pPr>
              <w:rPr>
                <w:rFonts w:ascii="Times New Roman" w:hAnsi="Times New Roman"/>
              </w:rPr>
            </w:pPr>
            <w:r>
              <w:rPr>
                <w:rFonts w:ascii="Times New Roman" w:hAnsi="Times New Roman"/>
              </w:rPr>
              <w:t>电流与时间</w:t>
            </w:r>
          </w:p>
        </w:tc>
        <w:tc>
          <w:tcPr>
            <w:tcW w:w="3258" w:type="dxa"/>
          </w:tcPr>
          <w:p w14:paraId="33A8265F">
            <w:pPr>
              <w:rPr>
                <w:rFonts w:ascii="Times New Roman" w:hAnsi="Times New Roman"/>
              </w:rPr>
            </w:pPr>
            <w:r>
              <w:rPr>
                <w:rFonts w:ascii="Times New Roman" w:hAnsi="Times New Roman"/>
              </w:rPr>
              <w:t>充放电电流、采样时间</w:t>
            </w:r>
          </w:p>
        </w:tc>
        <w:tc>
          <w:tcPr>
            <w:tcW w:w="3258" w:type="dxa"/>
          </w:tcPr>
          <w:p w14:paraId="54D4D643">
            <w:pPr>
              <w:rPr>
                <w:rFonts w:ascii="Times New Roman" w:hAnsi="Times New Roman"/>
              </w:rPr>
            </w:pPr>
            <w:r>
              <w:rPr>
                <w:rFonts w:ascii="Times New Roman" w:hAnsi="Times New Roman"/>
              </w:rPr>
              <w:t>识别工作阶段并构造时间相关特征</w:t>
            </w:r>
          </w:p>
        </w:tc>
      </w:tr>
      <w:tr w14:paraId="2238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028618">
            <w:pPr>
              <w:rPr>
                <w:rFonts w:ascii="Times New Roman" w:hAnsi="Times New Roman"/>
              </w:rPr>
            </w:pPr>
            <w:r>
              <w:rPr>
                <w:rFonts w:ascii="Times New Roman" w:hAnsi="Times New Roman"/>
              </w:rPr>
              <w:t>环境与状态</w:t>
            </w:r>
          </w:p>
        </w:tc>
        <w:tc>
          <w:tcPr>
            <w:tcW w:w="3258" w:type="dxa"/>
          </w:tcPr>
          <w:p w14:paraId="52DF1B3D">
            <w:pPr>
              <w:rPr>
                <w:rFonts w:ascii="Times New Roman" w:hAnsi="Times New Roman"/>
              </w:rPr>
            </w:pPr>
            <w:r>
              <w:rPr>
                <w:rFonts w:ascii="Times New Roman" w:hAnsi="Times New Roman"/>
              </w:rPr>
              <w:t>温度、内阻、健康状态估计量</w:t>
            </w:r>
          </w:p>
        </w:tc>
        <w:tc>
          <w:tcPr>
            <w:tcW w:w="3258" w:type="dxa"/>
          </w:tcPr>
          <w:p w14:paraId="5424C8CD">
            <w:pPr>
              <w:rPr>
                <w:rFonts w:ascii="Times New Roman" w:hAnsi="Times New Roman"/>
              </w:rPr>
            </w:pPr>
            <w:r>
              <w:rPr>
                <w:rFonts w:ascii="Times New Roman" w:hAnsi="Times New Roman"/>
              </w:rPr>
              <w:t>补充影响退化速率的状态信息</w:t>
            </w:r>
          </w:p>
        </w:tc>
      </w:tr>
      <w:tr w14:paraId="499B1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5AB57FF">
            <w:pPr>
              <w:rPr>
                <w:rFonts w:ascii="Times New Roman" w:hAnsi="Times New Roman"/>
              </w:rPr>
            </w:pPr>
            <w:r>
              <w:rPr>
                <w:rFonts w:ascii="Times New Roman" w:hAnsi="Times New Roman"/>
              </w:rPr>
              <w:t>电池参数</w:t>
            </w:r>
          </w:p>
        </w:tc>
        <w:tc>
          <w:tcPr>
            <w:tcW w:w="3258" w:type="dxa"/>
          </w:tcPr>
          <w:p w14:paraId="795BB13E">
            <w:pPr>
              <w:rPr>
                <w:rFonts w:ascii="Times New Roman" w:hAnsi="Times New Roman"/>
              </w:rPr>
            </w:pPr>
            <w:r>
              <w:rPr>
                <w:rFonts w:ascii="Times New Roman" w:hAnsi="Times New Roman"/>
              </w:rPr>
              <w:t>额定容量、电压上下限</w:t>
            </w:r>
          </w:p>
        </w:tc>
        <w:tc>
          <w:tcPr>
            <w:tcW w:w="3258" w:type="dxa"/>
          </w:tcPr>
          <w:p w14:paraId="4DAB8F09">
            <w:pPr>
              <w:rPr>
                <w:rFonts w:ascii="Times New Roman" w:hAnsi="Times New Roman"/>
              </w:rPr>
            </w:pPr>
            <w:r>
              <w:rPr>
                <w:rFonts w:ascii="Times New Roman" w:hAnsi="Times New Roman"/>
              </w:rPr>
              <w:t>确定终止阈值和统一采样范围</w:t>
            </w:r>
          </w:p>
        </w:tc>
      </w:tr>
    </w:tbl>
    <w:p w14:paraId="5E73E477">
      <w:pPr>
        <w:pStyle w:val="5"/>
        <w:rPr>
          <w:rFonts w:ascii="Times New Roman" w:hAnsi="Times New Roman"/>
        </w:rPr>
      </w:pPr>
      <w:r>
        <w:rPr>
          <w:rFonts w:ascii="Times New Roman" w:hAnsi="Times New Roman"/>
        </w:rPr>
        <w:t>4.2统一采样位置的循环曲线</w:t>
      </w:r>
    </w:p>
    <w:p w14:paraId="1F10949B">
      <w:pPr>
        <w:ind w:firstLine="440"/>
        <w:rPr>
          <w:rFonts w:ascii="Times New Roman" w:hAnsi="Times New Roman"/>
        </w:rPr>
      </w:pPr>
      <w:r>
        <w:rPr>
          <w:rFonts w:ascii="Times New Roman" w:hAnsi="Times New Roman"/>
        </w:rPr>
        <w:t>对第</w:t>
      </w:r>
      <m:oMath>
        <m:r>
          <m:rPr/>
          <w:rPr>
            <w:rFonts w:ascii="Cambria Math" w:hAnsi="Cambria Math"/>
          </w:rPr>
          <m:t>t</m:t>
        </m:r>
      </m:oMath>
      <w:r>
        <w:rPr>
          <w:rFonts w:ascii="Times New Roman" w:hAnsi="Times New Roman"/>
        </w:rPr>
        <w:t>个循环筛选属于放电阶段的有效采样点，记第</w:t>
      </w:r>
      <m:oMath>
        <m:r>
          <m:rPr/>
          <w:rPr>
            <w:rFonts w:ascii="Cambria Math" w:hAnsi="Cambria Math"/>
          </w:rPr>
          <m:t>i</m:t>
        </m:r>
      </m:oMath>
      <w:r>
        <w:rPr>
          <w:rFonts w:ascii="Times New Roman" w:hAnsi="Times New Roman"/>
        </w:rPr>
        <w:t>个采样点的电压和累计放电容量为</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t,i</m:t>
            </m:r>
            <m:ctrlPr>
              <w:rPr>
                <w:rFonts w:ascii="Cambria Math" w:hAnsi="Cambria Math"/>
              </w:rPr>
            </m:ctrlPr>
          </m:sub>
        </m:sSub>
      </m:oMath>
      <w:r>
        <w:rPr>
          <w:rFonts w:ascii="Times New Roman" w:hAnsi="Times New Roman"/>
        </w:rPr>
        <w:t>和</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t,i</m:t>
            </m:r>
            <m:ctrlPr>
              <w:rPr>
                <w:rFonts w:ascii="Cambria Math" w:hAnsi="Cambria Math"/>
              </w:rPr>
            </m:ctrlPr>
          </m:sub>
        </m:sSub>
      </m:oMath>
      <w:r>
        <w:rPr>
          <w:rFonts w:ascii="Times New Roman" w:hAnsi="Times New Roman"/>
        </w:rPr>
        <w:t>。在预设电压区间</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ctrlPr>
              <w:rPr>
                <w:rFonts w:ascii="Cambria Math" w:hAnsi="Cambria Math"/>
              </w:rPr>
            </m:ctrlPr>
          </m:e>
        </m:d>
      </m:oMath>
      <w:r>
        <w:rPr>
          <w:rFonts w:ascii="Times New Roman" w:hAnsi="Times New Roman"/>
        </w:rPr>
        <w:t>内建立</w:t>
      </w:r>
      <m:oMath>
        <m:r>
          <m:rPr/>
          <w:rPr>
            <w:rFonts w:ascii="Cambria Math" w:hAnsi="Cambria Math"/>
          </w:rPr>
          <m:t>W</m:t>
        </m:r>
      </m:oMath>
      <w:r>
        <w:rPr>
          <w:rFonts w:ascii="Times New Roman" w:hAnsi="Times New Roman"/>
        </w:rPr>
        <w:t>个等间隔电压位置，将原始采样点映射到统一位置并获得每个位置的容量值。放电判定阈值、采样点数量和电压范围均可根据采集设备及电池规格预先设定。</w:t>
      </w:r>
    </w:p>
    <w:p w14:paraId="522C271C">
      <w:pPr>
        <w:ind w:firstLine="440"/>
        <w:rPr>
          <w:rFonts w:ascii="Times New Roman" w:hAnsi="Times New Roman"/>
        </w:rPr>
      </w:pPr>
      <w:r>
        <w:rPr>
          <w:rFonts w:ascii="Times New Roman" w:hAnsi="Times New Roman"/>
        </w:rPr>
        <w:t>为消除不同循环的采样位置差异，在预设电压区间内建立等间隔电压网格，其第</w:t>
      </w:r>
      <m:oMath>
        <m:r>
          <m:rPr/>
          <w:rPr>
            <w:rFonts w:ascii="Cambria Math" w:hAnsi="Cambria Math"/>
          </w:rPr>
          <m:t>j</m:t>
        </m:r>
      </m:oMath>
      <w:r>
        <w:rPr>
          <w:rFonts w:ascii="Times New Roman" w:hAnsi="Times New Roman"/>
        </w:rPr>
        <w:t>个网格位置定义如公式（2）所示：</w:t>
      </w:r>
    </w:p>
    <w:p w14:paraId="5A21BCF3">
      <w:pPr>
        <w:jc w:val="center"/>
        <w:rPr>
          <w:rFonts w:ascii="Times New Roman" w:hAnsi="Times New Roman"/>
        </w:rPr>
      </w:pP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j</m:t>
            </m:r>
            <m:ctrlPr>
              <w:rPr>
                <w:rFonts w:ascii="Cambria Math" w:hAnsi="Cambria Math"/>
              </w:rPr>
            </m:ctrlPr>
          </m:num>
          <m:den>
            <m:r>
              <m:rPr/>
              <w:rPr>
                <w:rFonts w:ascii="Cambria Math" w:hAnsi="Cambria Math"/>
              </w:rPr>
              <m:t>W−1</m:t>
            </m:r>
            <m:ctrlPr>
              <w:rPr>
                <w:rFonts w:ascii="Cambria Math" w:hAnsi="Cambria Math"/>
              </w:rPr>
            </m:ctrlPr>
          </m:den>
        </m:f>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max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min</m:t>
                </m:r>
                <m:ctrlPr>
                  <w:rPr>
                    <w:rFonts w:ascii="Cambria Math" w:hAnsi="Cambria Math"/>
                  </w:rPr>
                </m:ctrlPr>
              </m:sub>
            </m:sSub>
            <m:ctrlPr>
              <w:rPr>
                <w:rFonts w:ascii="Cambria Math" w:hAnsi="Cambria Math"/>
              </w:rPr>
            </m:ctrlPr>
          </m:e>
        </m:d>
        <m:r>
          <m:rPr/>
          <w:rPr>
            <w:rFonts w:ascii="Cambria Math" w:hAnsi="Cambria Math"/>
          </w:rPr>
          <m:t>,j=0,1,…,W−1</m:t>
        </m:r>
      </m:oMath>
      <w:r>
        <w:rPr>
          <w:rFonts w:ascii="Times New Roman" w:hAnsi="Times New Roman"/>
        </w:rPr>
        <w:t>（2）</w:t>
      </w:r>
    </w:p>
    <w:p w14:paraId="5B5A8A6C">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oMath>
      <w:r>
        <w:rPr>
          <w:rFonts w:ascii="Times New Roman" w:hAnsi="Times New Roman"/>
        </w:rPr>
        <w:t>表示第</w:t>
      </w:r>
      <m:oMath>
        <m:r>
          <m:rPr/>
          <w:rPr>
            <w:rFonts w:ascii="Cambria Math" w:hAnsi="Cambria Math"/>
          </w:rPr>
          <m:t>j</m:t>
        </m:r>
      </m:oMath>
      <w:r>
        <w:rPr>
          <w:rFonts w:ascii="Times New Roman" w:hAnsi="Times New Roman"/>
        </w:rPr>
        <w:t>个统一电压位置；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min</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max</m:t>
            </m:r>
            <m:ctrlPr>
              <w:rPr>
                <w:rFonts w:ascii="Cambria Math" w:hAnsi="Cambria Math"/>
                <w:i/>
              </w:rPr>
            </m:ctrlPr>
          </m:sub>
        </m:sSub>
      </m:oMath>
      <w:r>
        <w:rPr>
          <w:rFonts w:ascii="Times New Roman" w:hAnsi="Times New Roman"/>
        </w:rPr>
        <w:t>分别表示预设电压区间的下限和上限；</w:t>
      </w:r>
      <m:oMath>
        <m:r>
          <m:rPr/>
          <w:rPr>
            <w:rFonts w:ascii="Cambria Math" w:hAnsi="Cambria Math"/>
          </w:rPr>
          <m:t>W</m:t>
        </m:r>
      </m:oMath>
      <w:r>
        <w:rPr>
          <w:rFonts w:ascii="Times New Roman" w:hAnsi="Times New Roman"/>
        </w:rPr>
        <w:t>表示每个循环统一采样位置的数量；</w:t>
      </w:r>
      <m:oMath>
        <m:r>
          <m:rPr/>
          <w:rPr>
            <w:rFonts w:ascii="Cambria Math" w:hAnsi="Cambria Math"/>
          </w:rPr>
          <m:t>j</m:t>
        </m:r>
      </m:oMath>
      <w:r>
        <w:rPr>
          <w:rFonts w:ascii="Times New Roman" w:hAnsi="Times New Roman"/>
        </w:rPr>
        <w:t>为网格索引，取</w:t>
      </w:r>
      <m:oMath>
        <m:r>
          <m:rPr/>
          <w:rPr>
            <w:rFonts w:ascii="Cambria Math" w:hAnsi="Cambria Math"/>
          </w:rPr>
          <m:t>0,1,…,W−1</m:t>
        </m:r>
      </m:oMath>
      <w:r>
        <w:rPr>
          <w:rFonts w:ascii="Times New Roman" w:hAnsi="Times New Roman"/>
        </w:rPr>
        <w:t>。对各统一位置采用相邻有效采样点之间的插值函数得到循环曲线</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插值结果可按电压升降方向统一排列。为使插值有定义，至少需要两个电压位置不同的有效采样点；当有效采样点不足时，可使用预设缺省值或边界规则填充，并将缺失值或无穷值转换为有限数值，以保证不同循环具有一致长度。</w:t>
      </w:r>
    </w:p>
    <w:p w14:paraId="2A69FFD9">
      <w:pPr>
        <w:ind w:firstLine="440"/>
        <w:rPr>
          <w:rFonts w:ascii="Times New Roman" w:hAnsi="Times New Roman"/>
        </w:rPr>
      </w:pPr>
      <w:r>
        <w:rPr>
          <w:rFonts w:ascii="Times New Roman" w:hAnsi="Times New Roman"/>
        </w:rPr>
        <w:t>将第</w:t>
      </w:r>
      <m:oMath>
        <m:r>
          <m:rPr/>
          <w:rPr>
            <w:rFonts w:ascii="Cambria Math" w:hAnsi="Cambria Math"/>
          </w:rPr>
          <m:t>t</m:t>
        </m:r>
      </m:oMath>
      <w:r>
        <w:rPr>
          <w:rFonts w:ascii="Times New Roman" w:hAnsi="Times New Roman"/>
        </w:rPr>
        <w:t>个循环的原始放电采样点映射到统一电压位置，并通过插值获得对应容量值，插值结果定义如公式（3）所示：</w:t>
      </w:r>
    </w:p>
    <w:p w14:paraId="3B7D2A66">
      <w:pPr>
        <w:jc w:val="center"/>
        <w:rPr>
          <w:rFonts w:ascii="Times New Roman" w:hAnsi="Times New Roman"/>
        </w:rPr>
      </w:pP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=Interp</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t,i</m:t>
                        </m:r>
                        <m:ctrlPr>
                          <w:rPr>
                            <w:rFonts w:ascii="Cambria Math" w:hAnsi="Cambria Math"/>
                          </w:rPr>
                        </m:ctrlPr>
                      </m:sub>
                    </m:sSub>
                    <m:ctrlPr>
                      <w:rPr>
                        <w:rFonts w:ascii="Cambria Math" w:hAnsi="Cambria Math"/>
                      </w:rPr>
                    </m:ctrlPr>
                  </m:e>
                </m:d>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（3）</w:t>
      </w:r>
    </w:p>
    <w:p w14:paraId="4F270494">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表示第</w:t>
      </w:r>
      <m:oMath>
        <m:r>
          <m:rPr/>
          <w:rPr>
            <w:rFonts w:ascii="Cambria Math" w:hAnsi="Cambria Math"/>
          </w:rPr>
          <m:t>t</m:t>
        </m:r>
      </m:oMath>
      <w:r>
        <w:rPr>
          <w:rFonts w:ascii="Times New Roman" w:hAnsi="Times New Roman"/>
        </w:rPr>
        <w:t>个循环在统一电压位置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oMath>
      <w:r>
        <w:rPr>
          <w:rFonts w:ascii="Times New Roman" w:hAnsi="Times New Roman"/>
        </w:rPr>
        <w:t>处的放电容量；</w:t>
      </w:r>
      <m:oMath>
        <m:r>
          <m:rPr/>
          <w:rPr>
            <w:rFonts w:ascii="Cambria Math" w:hAnsi="Cambria Math"/>
          </w:rPr>
          <m:t>Interp</m:t>
        </m:r>
      </m:oMath>
      <w:r>
        <w:rPr>
          <w:rFonts w:ascii="Times New Roman" w:hAnsi="Times New Roman"/>
        </w:rPr>
        <w:t>表示由相邻有效采样点确定的插值算子；</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t,i</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t,i</m:t>
            </m:r>
            <m:ctrlPr>
              <w:rPr>
                <w:rFonts w:ascii="Cambria Math" w:hAnsi="Cambria Math"/>
                <w:i/>
              </w:rPr>
            </m:ctrlPr>
          </m:sub>
        </m:sSub>
      </m:oMath>
      <w:r>
        <w:rPr>
          <w:rFonts w:ascii="Times New Roman" w:hAnsi="Times New Roman"/>
        </w:rPr>
        <w:t>分别表示第</w:t>
      </w:r>
      <m:oMath>
        <m:r>
          <m:rPr/>
          <w:rPr>
            <w:rFonts w:ascii="Cambria Math" w:hAnsi="Cambria Math"/>
          </w:rPr>
          <m:t>t</m:t>
        </m:r>
      </m:oMath>
      <w:r>
        <w:rPr>
          <w:rFonts w:ascii="Times New Roman" w:hAnsi="Times New Roman"/>
        </w:rPr>
        <w:t>个循环第</w:t>
      </w:r>
      <m:oMath>
        <m:r>
          <m:rPr/>
          <w:rPr>
            <w:rFonts w:ascii="Cambria Math" w:hAnsi="Cambria Math"/>
          </w:rPr>
          <m:t>i</m:t>
        </m:r>
      </m:oMath>
      <w:r>
        <w:rPr>
          <w:rFonts w:ascii="Times New Roman" w:hAnsi="Times New Roman"/>
        </w:rPr>
        <w:t>个有效采样点的电压和累计放电容量；</w:t>
      </w:r>
      <m:oMath>
        <m:r>
          <m:rPr/>
          <w:rPr>
            <w:rFonts w:ascii="Cambria Math" w:hAnsi="Cambria Math"/>
          </w:rPr>
          <m:t>i</m:t>
        </m:r>
      </m:oMath>
      <w:r>
        <w:rPr>
          <w:rFonts w:ascii="Times New Roman" w:hAnsi="Times New Roman"/>
        </w:rPr>
        <w:t>为有效采样点索引。</w:t>
      </w:r>
    </w:p>
    <w:p w14:paraId="4BD06ABD">
      <w:pPr>
        <w:pStyle w:val="5"/>
        <w:rPr>
          <w:rFonts w:ascii="Times New Roman" w:hAnsi="Times New Roman"/>
        </w:rPr>
      </w:pPr>
      <w:r>
        <w:rPr>
          <w:rFonts w:ascii="Times New Roman" w:hAnsi="Times New Roman"/>
        </w:rPr>
        <w:t>4.3基准循环差分</w:t>
      </w:r>
    </w:p>
    <w:p w14:paraId="159BACC7">
      <w:pPr>
        <w:ind w:firstLine="440"/>
        <w:rPr>
          <w:rFonts w:ascii="Times New Roman" w:hAnsi="Times New Roman"/>
        </w:rPr>
      </w:pPr>
      <w:commentRangeStart w:id="1"/>
      <w:r>
        <w:rPr>
          <w:rFonts w:ascii="Times New Roman" w:hAnsi="Times New Roman"/>
        </w:rPr>
        <w:t>在早期观测窗口内选取参考循环</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oMath>
      <w:r>
        <w:rPr>
          <w:rFonts w:ascii="Times New Roman" w:hAnsi="Times New Roman"/>
        </w:rPr>
        <w:t>，将其统一采样曲线作为参考状态。参考循环可以是窗口内预设位置，也可以根据数据质量从前若干循环中选取。对窗口内每个循环在相同电压位置进行差分，得到相对退化曲线，避免不同电池的初始容量和平台位置直接支配模型。</w:t>
      </w:r>
      <w:commentRangeEnd w:id="1"/>
      <w:r>
        <w:commentReference w:id="1"/>
      </w:r>
    </w:p>
    <w:p w14:paraId="3DFAA9ED">
      <w:pPr>
        <w:ind w:firstLine="440"/>
        <w:rPr>
          <w:rFonts w:ascii="Times New Roman" w:hAnsi="Times New Roman"/>
        </w:rPr>
      </w:pPr>
      <w:r>
        <w:rPr>
          <w:rFonts w:ascii="Times New Roman" w:hAnsi="Times New Roman"/>
        </w:rPr>
        <w:t>为表征相对于参考循环的容量退化，在相同电压网格位置计算当前循环与参考循环的差值，得到的差分特征定义如公式（4）所示：</w:t>
      </w:r>
    </w:p>
    <w:p w14:paraId="10401926">
      <w:pPr>
        <w:jc w:val="center"/>
        <w:rPr>
          <w:rFonts w:ascii="Times New Roman" w:hAnsi="Times New Roman"/>
        </w:rPr>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d>
      </m:oMath>
      <w:r>
        <w:rPr>
          <w:rFonts w:ascii="Times New Roman" w:hAnsi="Times New Roman"/>
        </w:rPr>
        <w:t>（4）</w:t>
      </w:r>
    </w:p>
    <w:p w14:paraId="788B77BA">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表示第</w:t>
      </w:r>
      <m:oMath>
        <m:r>
          <m:rPr/>
          <w:rPr>
            <w:rFonts w:ascii="Cambria Math" w:hAnsi="Cambria Math"/>
          </w:rPr>
          <m:t>t</m:t>
        </m:r>
      </m:oMath>
      <w:r>
        <w:rPr>
          <w:rFonts w:ascii="Times New Roman" w:hAnsi="Times New Roman"/>
        </w:rPr>
        <w:t>个循环在统一电压位置</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oMath>
      <w:r>
        <w:rPr>
          <w:rFonts w:ascii="Times New Roman" w:hAnsi="Times New Roman"/>
        </w:rPr>
        <w:t>处的相对退化容量；</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表示当前循环容量；</w:t>
      </w:r>
      <m:oMath>
        <m:sSub>
          <m:sSubPr>
            <m:ctrlPr>
              <w:rPr>
                <w:rFonts w:ascii="Cambria Math" w:hAnsi="Cambria Math"/>
                <w:i/>
              </w:rPr>
            </m:ctrlPr>
          </m:sSubPr>
          <m:e>
            <m:r>
              <m:rPr/>
              <w:rPr>
                <w:rFonts w:ascii="Cambria Math" w:hAnsi="Cambria Math"/>
              </w:rPr>
              <m:t>q</m:t>
            </m:r>
            <m:ctrlPr>
              <w:rPr>
                <w:rFonts w:ascii="Cambria Math" w:hAnsi="Cambria Math"/>
                <w:i/>
              </w:rPr>
            </m:ctrlPr>
          </m:e>
          <m:sub>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ctrlPr>
              <w:rPr>
                <w:rFonts w:ascii="Cambria Math" w:hAnsi="Cambria Math"/>
                <w:i/>
              </w:rPr>
            </m:ctrlPr>
          </m:e>
        </m:d>
      </m:oMath>
      <w:r>
        <w:rPr>
          <w:rFonts w:ascii="Times New Roman" w:hAnsi="Times New Roman"/>
        </w:rPr>
        <w:t>表示参考循环</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oMath>
      <w:r>
        <w:rPr>
          <w:rFonts w:ascii="Times New Roman" w:hAnsi="Times New Roman"/>
        </w:rPr>
        <w:t>在相同电压位置的容量；</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0</m:t>
            </m:r>
            <m:ctrlPr>
              <w:rPr>
                <w:rFonts w:ascii="Cambria Math" w:hAnsi="Cambria Math"/>
                <w:i/>
              </w:rPr>
            </m:ctrlPr>
          </m:sub>
        </m:sSub>
      </m:oMath>
      <w:r>
        <w:rPr>
          <w:rFonts w:ascii="Times New Roman" w:hAnsi="Times New Roman"/>
        </w:rPr>
        <w:t>为选定的参考循环索引。</w:t>
      </w:r>
    </w:p>
    <w:p w14:paraId="06118BE4">
      <w:pPr>
        <w:pStyle w:val="5"/>
        <w:rPr>
          <w:rFonts w:ascii="Times New Roman" w:hAnsi="Times New Roman"/>
        </w:rPr>
      </w:pPr>
      <w:r>
        <w:rPr>
          <w:rFonts w:ascii="Times New Roman" w:hAnsi="Times New Roman"/>
        </w:rPr>
        <w:t>4.4鲁棒质量处理</w:t>
      </w:r>
    </w:p>
    <w:p w14:paraId="6A306F6F">
      <w:pPr>
        <w:ind w:firstLine="440"/>
        <w:rPr>
          <w:rFonts w:ascii="Times New Roman" w:hAnsi="Times New Roman"/>
        </w:rPr>
      </w:pPr>
      <w:r>
        <w:rPr>
          <w:rFonts w:ascii="Times New Roman" w:hAnsi="Times New Roman"/>
        </w:rPr>
        <w:t>对统一曲线和差分曲线执行滑动中值处理。设待处理序列在位置</w:t>
      </w:r>
      <m:oMath>
        <m:r>
          <m:rPr/>
          <w:rPr>
            <w:rFonts w:ascii="Cambria Math" w:hAnsi="Cambria Math"/>
          </w:rPr>
          <m:t>i</m:t>
        </m:r>
      </m:oMath>
      <w:r>
        <w:rPr>
          <w:rFonts w:ascii="Times New Roman" w:hAnsi="Times New Roman"/>
        </w:rPr>
        <w:t>的值为</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oMath>
      <w:r>
        <w:rPr>
          <w:rFonts w:ascii="Times New Roman" w:hAnsi="Times New Roman"/>
        </w:rPr>
        <w:t>，窗口半径为</w:t>
      </w:r>
      <m:oMath>
        <m:r>
          <m:rPr/>
          <w:rPr>
            <w:rFonts w:ascii="Cambria Math" w:hAnsi="Cambria Math"/>
          </w:rPr>
          <m:t>r</m:t>
        </m:r>
      </m:oMath>
      <w:r>
        <w:rPr>
          <w:rFonts w:ascii="Times New Roman" w:hAnsi="Times New Roman"/>
        </w:rPr>
        <w:t>，则局部代表值为窗口内样本的中值。</w:t>
      </w:r>
    </w:p>
    <w:p w14:paraId="7D043852">
      <w:pPr>
        <w:ind w:firstLine="440"/>
        <w:rPr>
          <w:rFonts w:ascii="Times New Roman" w:hAnsi="Times New Roman"/>
        </w:rPr>
      </w:pPr>
      <w:r>
        <w:rPr>
          <w:rFonts w:ascii="Times New Roman" w:hAnsi="Times New Roman"/>
        </w:rPr>
        <w:t>为抑制单点噪声，沿统一采样位置采用滑动窗口计算局部中值，局部中值定义如公式（5）所示：</w:t>
      </w:r>
    </w:p>
    <w:p w14:paraId="5F2FEBB6">
      <w:pPr>
        <w:jc w:val="center"/>
        <w:rPr>
          <w:rFonts w:ascii="Times New Roman" w:hAnsi="Times New Roman"/>
        </w:rPr>
      </w:pP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=median</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i−r</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i+r</m:t>
                </m:r>
                <m:ctrlPr>
                  <w:rPr>
                    <w:rFonts w:ascii="Cambria Math" w:hAnsi="Cambria Math"/>
                  </w:rPr>
                </m:ctrlPr>
              </m:sub>
            </m:sSub>
            <m:ctrlPr>
              <w:rPr>
                <w:rFonts w:ascii="Cambria Math" w:hAnsi="Cambria Math"/>
              </w:rPr>
            </m:ctrlPr>
          </m:e>
        </m:d>
      </m:oMath>
      <w:r>
        <w:rPr>
          <w:rFonts w:ascii="Times New Roman" w:hAnsi="Times New Roman"/>
        </w:rPr>
        <w:t>（5）</w:t>
      </w:r>
    </w:p>
    <w:p w14:paraId="5A706EB8">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表示位置</w:t>
      </w:r>
      <m:oMath>
        <m:r>
          <m:rPr/>
          <w:rPr>
            <w:rFonts w:ascii="Cambria Math" w:hAnsi="Cambria Math"/>
          </w:rPr>
          <m:t>i</m:t>
        </m:r>
      </m:oMath>
      <w:r>
        <w:rPr>
          <w:rFonts w:ascii="Times New Roman" w:hAnsi="Times New Roman"/>
        </w:rPr>
        <w:t>处滑动窗口内观测值的中值；</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i+r</m:t>
            </m:r>
            <m:ctrlPr>
              <w:rPr>
                <w:rFonts w:ascii="Cambria Math" w:hAnsi="Cambria Math"/>
                <w:i/>
              </w:rPr>
            </m:ctrlPr>
          </m:sub>
        </m:sSub>
      </m:oMath>
      <w:r>
        <w:rPr>
          <w:rFonts w:ascii="Times New Roman" w:hAnsi="Times New Roman"/>
        </w:rPr>
        <w:t>表示以</w:t>
      </w:r>
      <m:oMath>
        <m:r>
          <m:rPr/>
          <w:rPr>
            <w:rFonts w:ascii="Cambria Math" w:hAnsi="Cambria Math"/>
          </w:rPr>
          <m:t>i</m:t>
        </m:r>
      </m:oMath>
      <w:r>
        <w:rPr>
          <w:rFonts w:ascii="Times New Roman" w:hAnsi="Times New Roman"/>
        </w:rPr>
        <w:t>为中心的窗口样本；</w:t>
      </w:r>
      <m:oMath>
        <m:r>
          <m:rPr/>
          <w:rPr>
            <w:rFonts w:ascii="Cambria Math" w:hAnsi="Cambria Math"/>
          </w:rPr>
          <m:t>r</m:t>
        </m:r>
      </m:oMath>
      <w:r>
        <w:rPr>
          <w:rFonts w:ascii="Times New Roman" w:hAnsi="Times New Roman"/>
        </w:rPr>
        <w:t>表示窗口半径；窗口边界处采用边界复制或等效边界规则。</w:t>
      </w:r>
    </w:p>
    <w:p w14:paraId="4C727EA8">
      <w:pPr>
        <w:ind w:firstLine="440"/>
        <w:rPr>
          <w:rFonts w:ascii="Times New Roman" w:hAnsi="Times New Roman"/>
        </w:rPr>
      </w:pPr>
      <w:commentRangeStart w:id="2"/>
      <w:r>
        <w:rPr>
          <w:rFonts w:ascii="Times New Roman" w:hAnsi="Times New Roman"/>
        </w:rPr>
        <w:t>定义偏差绝对值</w:t>
      </w: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oMath>
      <w:r>
        <w:rPr>
          <w:rFonts w:ascii="Times New Roman" w:hAnsi="Times New Roman"/>
        </w:rPr>
        <w:t>，并以偏差序列的尺度统计量</w:t>
      </w:r>
      <m:oMath>
        <m:r>
          <m:rPr/>
          <w:rPr>
            <w:rFonts w:ascii="Cambria Math" w:hAnsi="Cambria Math"/>
          </w:rPr>
          <m:t>s</m:t>
        </m:r>
      </m:oMath>
      <w:r>
        <w:rPr>
          <w:rFonts w:ascii="Times New Roman" w:hAnsi="Times New Roman"/>
        </w:rPr>
        <w:t>确定异常阈值。对于超过阈值的采样点，可采用局部代表值替换；对于NaN或Inf，采用预设有限值替换。窗口半径</w:t>
      </w:r>
      <m:oMath>
        <m:r>
          <m:rPr/>
          <w:rPr>
            <w:rFonts w:ascii="Cambria Math" w:hAnsi="Cambria Math"/>
          </w:rPr>
          <m:t>r</m:t>
        </m:r>
      </m:oMath>
      <w:r>
        <w:rPr>
          <w:rFonts w:ascii="Times New Roman" w:hAnsi="Times New Roman"/>
        </w:rPr>
        <w:t>和阈值系数</w:t>
      </w:r>
      <m:oMath>
        <m:r>
          <m:rPr/>
          <w:rPr>
            <w:rFonts w:ascii="Cambria Math" w:hAnsi="Cambria Math"/>
          </w:rPr>
          <m:t>γ</m:t>
        </m:r>
      </m:oMath>
      <w:r>
        <w:rPr>
          <w:rFonts w:ascii="Times New Roman" w:hAnsi="Times New Roman"/>
        </w:rPr>
        <w:t>为可调参数，应结合采样密度和噪声水平确定。</w:t>
      </w:r>
      <w:commentRangeEnd w:id="2"/>
      <w:r>
        <w:commentReference w:id="2"/>
      </w:r>
    </w:p>
    <w:p w14:paraId="67A05A40">
      <w:pPr>
        <w:ind w:firstLine="440"/>
        <w:rPr>
          <w:rFonts w:ascii="Times New Roman" w:hAnsi="Times New Roman"/>
        </w:rPr>
      </w:pPr>
      <w:r>
        <w:rPr>
          <w:rFonts w:ascii="Times New Roman" w:hAnsi="Times New Roman"/>
        </w:rPr>
        <w:t>根据观测值与局部中值的偏差识别异常点，并以偏差序列的尺度统计量构造判别条件，相关量定义如公式（6）所示：</w:t>
      </w:r>
    </w:p>
    <w:p w14:paraId="5F71CF31">
      <w:pPr>
        <w:jc w:val="center"/>
        <w:rPr>
          <w:rFonts w:ascii="Times New Roman" w:hAnsi="Times New Roman"/>
        </w:rPr>
      </w:pPr>
      <m:oMath>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,s=std</m:t>
        </m:r>
        <m:d>
          <m:dPr>
            <m:ctrlPr>
              <w:rPr>
                <w:rFonts w:ascii="Cambria Math" w:hAnsi="Cambria Math"/>
              </w:rPr>
            </m:ctrlPr>
          </m:dPr>
          <m:e>
            <m:sSub>
              <m:sSubPr>
                <m:ctrlPr>
                  <w:rPr>
                    <w:rFonts w:ascii="Cambria Math" w:hAnsi="Cambria Math"/>
                  </w:rPr>
                </m:ctrlPr>
              </m:sSubPr>
              <m:e>
                <m:r>
                  <m:rPr/>
                  <w:rPr>
                    <w:rFonts w:ascii="Cambria Math" w:hAnsi="Cambria Math"/>
                  </w:rPr>
                  <m:t>δ</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&gt;γs</m:t>
        </m:r>
      </m:oMath>
      <w:r>
        <w:rPr>
          <w:rFonts w:ascii="Times New Roman" w:hAnsi="Times New Roman"/>
        </w:rPr>
        <w:t>（6）</w:t>
      </w:r>
    </w:p>
    <w:p w14:paraId="7F8B8681">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δ</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表示观测值</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与局部中值</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的偏差；</w:t>
      </w:r>
      <m:oMath>
        <m:r>
          <m:rPr/>
          <w:rPr>
            <w:rFonts w:ascii="Cambria Math" w:hAnsi="Cambria Math"/>
          </w:rPr>
          <m:t>s</m:t>
        </m:r>
      </m:oMath>
      <w:r>
        <w:rPr>
          <w:rFonts w:ascii="Times New Roman" w:hAnsi="Times New Roman"/>
        </w:rPr>
        <w:t>表示偏差序列</w:t>
      </w:r>
      <m:oMath>
        <m:r>
          <m:rPr/>
          <w:rPr>
            <w:rFonts w:ascii="Cambria Math" w:hAnsi="Cambria Math"/>
          </w:rPr>
          <m:t>δ</m:t>
        </m:r>
      </m:oMath>
      <w:r>
        <w:rPr>
          <w:rFonts w:ascii="Times New Roman" w:hAnsi="Times New Roman"/>
        </w:rPr>
        <w:t>的标准差；</w:t>
      </w:r>
      <m:oMath>
        <m:r>
          <m:rPr/>
          <w:rPr>
            <w:rFonts w:ascii="Cambria Math" w:hAnsi="Cambria Math"/>
          </w:rPr>
          <m:t>γ</m:t>
        </m:r>
      </m:oMath>
      <w:r>
        <w:rPr>
          <w:rFonts w:ascii="Times New Roman" w:hAnsi="Times New Roman"/>
        </w:rPr>
        <w:t>表示异常判别阈值系数；当</w:t>
      </w:r>
      <m:oMath>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w:r>
        <w:rPr>
          <w:rFonts w:ascii="Times New Roman" w:hAnsi="Times New Roman"/>
        </w:rPr>
        <w:t>大于</w:t>
      </w:r>
      <m:oMath>
        <m:r>
          <m:rPr/>
          <w:rPr>
            <w:rFonts w:ascii="Cambria Math" w:hAnsi="Cambria Math"/>
          </w:rPr>
          <m:t>γs</m:t>
        </m:r>
      </m:oMath>
      <w:r>
        <w:rPr>
          <w:rFonts w:ascii="Times New Roman" w:hAnsi="Times New Roman"/>
        </w:rPr>
        <w:t>时，将</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判定为异常点并可用</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i</m:t>
            </m:r>
            <m:ctrlPr>
              <w:rPr>
                <w:rFonts w:ascii="Cambria Math" w:hAnsi="Cambria Math"/>
                <w:i/>
              </w:rPr>
            </m:ctrlPr>
          </m:sub>
        </m:sSub>
      </m:oMath>
      <w:r>
        <w:rPr>
          <w:rFonts w:ascii="Times New Roman" w:hAnsi="Times New Roman"/>
        </w:rPr>
        <w:t>替换。</w:t>
      </w:r>
    </w:p>
    <w:p w14:paraId="2C2674AD">
      <w:pPr>
        <w:pStyle w:val="5"/>
        <w:rPr>
          <w:rFonts w:ascii="Times New Roman" w:hAnsi="Times New Roman"/>
        </w:rPr>
      </w:pPr>
      <w:r>
        <w:rPr>
          <w:rFonts w:ascii="Times New Roman" w:hAnsi="Times New Roman"/>
        </w:rPr>
        <w:t>4.5输入张量与RUL标签</w:t>
      </w:r>
    </w:p>
    <w:p w14:paraId="5A56DD93">
      <w:pPr>
        <w:ind w:firstLine="440"/>
        <w:rPr>
          <w:rFonts w:ascii="Times New Roman" w:hAnsi="Times New Roman"/>
        </w:rPr>
      </w:pPr>
      <w:r>
        <w:rPr>
          <w:rFonts w:ascii="Times New Roman" w:hAnsi="Times New Roman"/>
        </w:rPr>
        <w:t>设批量大小为</w:t>
      </w:r>
      <m:oMath>
        <m:r>
          <m:rPr/>
          <w:rPr>
            <w:rFonts w:ascii="Cambria Math" w:hAnsi="Cambria Math"/>
          </w:rPr>
          <m:t>B</m:t>
        </m:r>
      </m:oMath>
      <w:r>
        <w:rPr>
          <w:rFonts w:ascii="Times New Roman" w:hAnsi="Times New Roman"/>
        </w:rPr>
        <w:t>、输入通道数为</w:t>
      </w:r>
      <m:oMath>
        <m:r>
          <m:rPr/>
          <w:rPr>
            <w:rFonts w:ascii="Cambria Math" w:hAnsi="Cambria Math"/>
          </w:rPr>
          <m:t>C</m:t>
        </m:r>
      </m:oMath>
      <w:r>
        <w:rPr>
          <w:rFonts w:ascii="Times New Roman" w:hAnsi="Times New Roman"/>
        </w:rPr>
        <w:t>、早期循环窗口长度为</w:t>
      </w:r>
      <m:oMath>
        <m:r>
          <m:rPr/>
          <w:rPr>
            <w:rFonts w:ascii="Cambria Math" w:hAnsi="Cambria Math"/>
          </w:rPr>
          <m:t>H</m:t>
        </m:r>
      </m:oMath>
      <w:r>
        <w:rPr>
          <w:rFonts w:ascii="Times New Roman" w:hAnsi="Times New Roman"/>
        </w:rPr>
        <w:t>、每循环采样点数为</w:t>
      </w:r>
      <m:oMath>
        <m:r>
          <m:rPr/>
          <w:rPr>
            <w:rFonts w:ascii="Cambria Math" w:hAnsi="Cambria Math"/>
          </w:rPr>
          <m:t>W</m:t>
        </m:r>
      </m:oMath>
      <w:r>
        <w:rPr>
          <w:rFonts w:ascii="Times New Roman" w:hAnsi="Times New Roman"/>
        </w:rPr>
        <w:t>，构造输入张量</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raw</m:t>
            </m:r>
            <m:ctrlPr>
              <w:rPr>
                <w:rFonts w:ascii="Cambria Math" w:hAnsi="Cambria Math"/>
              </w:rPr>
            </m:ctrlPr>
          </m:sup>
        </m:sSup>
      </m:oMath>
      <w:r>
        <w:rPr>
          <w:rFonts w:ascii="Times New Roman" w:hAnsi="Times New Roman"/>
        </w:rPr>
        <w:t>。每个样本包含连续</w:t>
      </w:r>
      <m:oMath>
        <m:r>
          <m:rPr/>
          <w:rPr>
            <w:rFonts w:ascii="Cambria Math" w:hAnsi="Cambria Math"/>
          </w:rPr>
          <m:t>H</m:t>
        </m:r>
      </m:oMath>
      <w:r>
        <w:rPr>
          <w:rFonts w:ascii="Times New Roman" w:hAnsi="Times New Roman"/>
        </w:rPr>
        <w:t>个循环，每个循环在</w:t>
      </w:r>
      <m:oMath>
        <m:r>
          <m:rPr/>
          <w:rPr>
            <w:rFonts w:ascii="Cambria Math" w:hAnsi="Cambria Math"/>
          </w:rPr>
          <m:t>C</m:t>
        </m:r>
      </m:oMath>
      <w:r>
        <w:rPr>
          <w:rFonts w:ascii="Times New Roman" w:hAnsi="Times New Roman"/>
        </w:rPr>
        <w:t>个通道上具有</w:t>
      </w:r>
      <m:oMath>
        <m:r>
          <m:rPr/>
          <w:rPr>
            <w:rFonts w:ascii="Cambria Math" w:hAnsi="Cambria Math"/>
          </w:rPr>
          <m:t>W</m:t>
        </m:r>
      </m:oMath>
      <w:r>
        <w:rPr>
          <w:rFonts w:ascii="Times New Roman" w:hAnsi="Times New Roman"/>
        </w:rPr>
        <w:t>个统一位置的特征。</w:t>
      </w:r>
    </w:p>
    <w:p w14:paraId="19BEDDDC">
      <w:pPr>
        <w:ind w:firstLine="440"/>
        <w:rPr>
          <w:rFonts w:ascii="Times New Roman" w:hAnsi="Times New Roman"/>
        </w:rPr>
      </w:pPr>
      <w:r>
        <w:rPr>
          <w:rFonts w:ascii="Times New Roman" w:hAnsi="Times New Roman"/>
        </w:rPr>
        <w:t>将连续早期循环的多通道特征按批量、通道、循环和循环内采样位置组织为输入张量，其维度表示如公式（7）所示：</w:t>
      </w:r>
    </w:p>
    <w:p w14:paraId="517F2A3E">
      <w:pPr>
        <w:jc w:val="center"/>
        <w:rPr>
          <w:rFonts w:ascii="Times New Roman" w:hAnsi="Times New Roman"/>
        </w:rPr>
      </w:pP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raw</m:t>
            </m:r>
            <m:ctrlPr>
              <w:rPr>
                <w:rFonts w:ascii="Cambria Math" w:hAnsi="Cambria Math"/>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B×C×H×W</m:t>
            </m:r>
            <m:ctrlPr>
              <w:rPr>
                <w:rFonts w:ascii="Cambria Math" w:hAnsi="Cambria Math"/>
              </w:rPr>
            </m:ctrlPr>
          </m:sup>
        </m:sSup>
      </m:oMath>
      <w:r>
        <w:rPr>
          <w:rFonts w:ascii="Times New Roman" w:hAnsi="Times New Roman"/>
        </w:rPr>
        <w:t>（7）</w:t>
      </w:r>
    </w:p>
    <w:p w14:paraId="20EF4187">
      <w:pPr>
        <w:ind w:firstLine="440"/>
        <w:rPr>
          <w:rFonts w:ascii="Times New Roman" w:hAnsi="Times New Roman"/>
        </w:rPr>
      </w:pPr>
      <w:r>
        <w:rPr>
          <w:rFonts w:ascii="Times New Roman" w:hAnsi="Times New Roman"/>
        </w:rPr>
        <w:t>其中，</w:t>
      </w:r>
      <m:oMath>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raw</m:t>
            </m:r>
            <m:ctrlPr>
              <w:rPr>
                <w:rFonts w:ascii="Cambria Math" w:hAnsi="Cambria Math"/>
                <w:i/>
              </w:rPr>
            </m:ctrlPr>
          </m:sup>
        </m:sSup>
      </m:oMath>
      <w:r>
        <w:rPr>
          <w:rFonts w:ascii="Times New Roman" w:hAnsi="Times New Roman"/>
        </w:rPr>
        <w:t>表示原始输入张量；</w:t>
      </w:r>
      <m:oMath>
        <m:r>
          <m:rPr/>
          <w:rPr>
            <w:rFonts w:ascii="Cambria Math" w:hAnsi="Cambria Math"/>
          </w:rPr>
          <m:t>B</m:t>
        </m:r>
      </m:oMath>
      <w:r>
        <w:rPr>
          <w:rFonts w:ascii="Times New Roman" w:hAnsi="Times New Roman"/>
        </w:rPr>
        <w:t>表示批量中样本数量；</w:t>
      </w:r>
      <m:oMath>
        <m:r>
          <m:rPr/>
          <w:rPr>
            <w:rFonts w:ascii="Cambria Math" w:hAnsi="Cambria Math"/>
          </w:rPr>
          <m:t>C</m:t>
        </m:r>
      </m:oMath>
      <w:r>
        <w:rPr>
          <w:rFonts w:ascii="Times New Roman" w:hAnsi="Times New Roman"/>
        </w:rPr>
        <w:t>表示输入通道数量；</w:t>
      </w:r>
      <m:oMath>
        <m:r>
          <m:rPr/>
          <w:rPr>
            <w:rFonts w:ascii="Cambria Math" w:hAnsi="Cambria Math"/>
          </w:rPr>
          <m:t>H</m:t>
        </m:r>
      </m:oMath>
      <w:r>
        <w:rPr>
          <w:rFonts w:ascii="Times New Roman" w:hAnsi="Times New Roman"/>
        </w:rPr>
        <w:t>表示早期循环窗口长度；</w:t>
      </w:r>
      <m:oMath>
        <m:r>
          <m:rPr/>
          <w:rPr>
            <w:rFonts w:ascii="Cambria Math" w:hAnsi="Cambria Math"/>
          </w:rPr>
          <m:t>W</m:t>
        </m:r>
      </m:oMath>
      <w:r>
        <w:rPr>
          <w:rFonts w:ascii="Times New Roman" w:hAnsi="Times New Roman"/>
        </w:rPr>
        <w:t>表示每个循环的统一采样位置数量；张量索引顺序为批量、通道、循环和循环内采样位置。</w:t>
      </w:r>
    </w:p>
    <w:p w14:paraId="16845E33">
      <w:pPr>
        <w:ind w:firstLine="440"/>
        <w:rPr>
          <w:rFonts w:ascii="Times New Roman" w:hAnsi="Times New Roman"/>
        </w:rPr>
      </w:pPr>
      <w:r>
        <w:rPr>
          <w:rFonts w:ascii="Times New Roman" w:hAnsi="Times New Roman"/>
        </w:rPr>
        <w:t>根据每个循环的最大放电容量</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rPr>
          <w:rFonts w:ascii="Times New Roman" w:hAnsi="Times New Roman"/>
        </w:rPr>
        <w:t>确定寿命终止位置。当容量不高于额定容量</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oMath>
      <w:r>
        <w:rPr>
          <w:rFonts w:ascii="Times New Roman" w:hAnsi="Times New Roman"/>
        </w:rPr>
        <w:t>与寿命终止系数</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的乘积时，将该循环记为达到寿命终止条件，其中</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oMath>
      <w:r>
        <w:rPr>
          <w:rFonts w:ascii="Times New Roman" w:hAnsi="Times New Roman"/>
        </w:rPr>
        <w:t>为电池额定容量，</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为预设的寿命终止容量比例。</w:t>
      </w:r>
    </w:p>
    <w:p w14:paraId="253AD6E9">
      <w:pPr>
        <w:ind w:firstLine="440"/>
        <w:rPr>
          <w:rFonts w:ascii="Times New Roman" w:hAnsi="Times New Roman"/>
        </w:rPr>
      </w:pPr>
      <w:r>
        <w:rPr>
          <w:rFonts w:ascii="Times New Roman" w:hAnsi="Times New Roman"/>
        </w:rPr>
        <w:t>依据最大放电容量与额定容量的比例判定寿命终止循环，寿命终止条件定义如公式（8）所示：</w:t>
      </w:r>
    </w:p>
    <w:p w14:paraId="6F1E7D8D">
      <w:pPr>
        <w:jc w:val="center"/>
        <w:rPr>
          <w:rFonts w:ascii="Times New Roman" w:hAnsi="Times New Roman"/>
        </w:rPr>
      </w:pP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（8）</w:t>
      </w:r>
    </w:p>
    <w:p w14:paraId="6DBD846D">
      <w:pPr>
        <w:ind w:firstLine="440"/>
        <w:rPr>
          <w:rFonts w:ascii="Times New Roman" w:hAnsi="Times New Roman"/>
        </w:rPr>
      </w:pPr>
      <w:r>
        <w:rPr>
          <w:rFonts w:ascii="Times New Roman" w:hAnsi="Times New Roman"/>
        </w:rPr>
        <w:t>其中，</w:t>
      </w:r>
      <m:oMath>
        <m:sSubSup>
          <m:sSubSupPr>
            <m:ctrlPr>
              <w:rPr>
                <w:rFonts w:ascii="Cambria Math" w:hAnsi="Cambria Math"/>
                <w:i/>
              </w:rPr>
            </m:ctrlPr>
          </m:sSubSupPr>
          <m:e>
            <m:r>
              <m:rPr/>
              <w:rPr>
                <w:rFonts w:ascii="Cambria Math" w:hAnsi="Cambria Math"/>
              </w:rPr>
              <m:t>Q</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max</m:t>
            </m:r>
            <m:ctrlPr>
              <w:rPr>
                <w:rFonts w:ascii="Cambria Math" w:hAnsi="Cambria Math"/>
                <w:i/>
              </w:rPr>
            </m:ctrlPr>
          </m:sup>
        </m:sSubSup>
      </m:oMath>
      <w:r>
        <w:rPr>
          <w:rFonts w:ascii="Times New Roman" w:hAnsi="Times New Roman"/>
        </w:rPr>
        <w:t>表示第</w:t>
      </w:r>
      <m:oMath>
        <m:r>
          <m:rPr/>
          <w:rPr>
            <w:rFonts w:ascii="Cambria Math" w:hAnsi="Cambria Math"/>
          </w:rPr>
          <m:t>t</m:t>
        </m:r>
      </m:oMath>
      <w:r>
        <w:rPr>
          <w:rFonts w:ascii="Times New Roman" w:hAnsi="Times New Roman"/>
        </w:rPr>
        <w:t>个循环的最大放电容量；</w:t>
      </w:r>
      <m:oMath>
        <m:sSub>
          <m:sSubPr>
            <m:ctrlPr>
              <w:rPr>
                <w:rFonts w:ascii="Cambria Math" w:hAnsi="Cambria Math"/>
                <w:i/>
              </w:rPr>
            </m:ctrlPr>
          </m:sSubPr>
          <m:e>
            <m:r>
              <m:rPr/>
              <w:rPr>
                <w:rFonts w:ascii="Cambria Math" w:hAnsi="Cambria Math"/>
              </w:rPr>
              <m:t>Q</m:t>
            </m:r>
            <m:ctrlPr>
              <w:rPr>
                <w:rFonts w:ascii="Cambria Math" w:hAnsi="Cambria Math"/>
                <w:i/>
              </w:rPr>
            </m:ctrlPr>
          </m:e>
          <m:sub>
            <m:r>
              <m:rPr/>
              <w:rPr>
                <w:rFonts w:ascii="Cambria Math" w:hAnsi="Cambria Math"/>
              </w:rPr>
              <m:t>nom</m:t>
            </m:r>
            <m:ctrlPr>
              <w:rPr>
                <w:rFonts w:ascii="Cambria Math" w:hAnsi="Cambria Math"/>
                <w:i/>
              </w:rPr>
            </m:ctrlPr>
          </m:sub>
        </m:sSub>
      </m:oMath>
      <w:r>
        <w:rPr>
          <w:rFonts w:ascii="Times New Roman" w:hAnsi="Times New Roman"/>
        </w:rPr>
        <w:t>表示电池额定容量；</w:t>
      </w:r>
      <m:oMath>
        <m:sSub>
          <m:sSubPr>
            <m:ctrlPr>
              <w:rPr>
                <w:rFonts w:ascii="Cambria Math" w:hAnsi="Cambria Math"/>
                <w:i/>
              </w:rPr>
            </m:ctrlPr>
          </m:sSubPr>
          <m:e>
            <m:r>
              <m:rPr/>
              <w:rPr>
                <w:rFonts w:ascii="Cambria Math" w:hAnsi="Cambria Math"/>
              </w:rPr>
              <m:t>η</m:t>
            </m:r>
            <m:ctrlPr>
              <w:rPr>
                <w:rFonts w:ascii="Cambria Math" w:hAnsi="Cambria Math"/>
                <w:i/>
              </w:rPr>
            </m:ctrlPr>
          </m:e>
          <m:sub>
            <m:r>
              <m:rPr/>
              <w:rPr>
                <w:rFonts w:ascii="Cambria Math" w:hAnsi="Cambria Math"/>
              </w:rPr>
              <m:t>EOL</m:t>
            </m:r>
            <m:ctrlPr>
              <w:rPr>
                <w:rFonts w:ascii="Cambria Math" w:hAnsi="Cambria Math"/>
                <w:i/>
              </w:rPr>
            </m:ctrlPr>
          </m:sub>
        </m:sSub>
      </m:oMath>
      <w:r>
        <w:rPr>
          <w:rFonts w:ascii="Times New Roman" w:hAnsi="Times New Roman"/>
        </w:rPr>
        <w:t>表示预设的寿命终止容量比例；</w:t>
      </w:r>
      <w:r>
        <w:rPr>
          <w:rFonts w:hint="eastAsia" w:ascii="Times New Roman" w:hAnsi="Times New Roman"/>
        </w:rPr>
        <w:t>当</w:t>
      </w:r>
      <m:oMath>
        <m:sSubSup>
          <m:sSubSupPr>
            <m:ctrlPr>
              <w:rPr>
                <w:rFonts w:ascii="Cambria Math" w:hAnsi="Cambria Math"/>
              </w:rPr>
            </m:ctrlPr>
          </m:sSubSupPr>
          <m:e>
            <m:r>
              <m:rPr/>
              <w:rPr>
                <w:rFonts w:ascii="Cambria Math" w:hAnsi="Cambria Math"/>
              </w:rPr>
              <m:t>Q</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max</m:t>
            </m:r>
            <m:ctrlPr>
              <w:rPr>
                <w:rFonts w:ascii="Cambria Math" w:hAnsi="Cambria Math"/>
              </w:rPr>
            </m:ctrlPr>
          </m:sup>
        </m:sSubSup>
      </m:oMath>
      <w:r>
        <w:rPr>
          <w:rFonts w:hint="eastAsia" w:ascii="Times New Roman" w:hAnsi="Times New Roman"/>
        </w:rPr>
        <w:t>不大于</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nom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EOL</m:t>
            </m:r>
            <m:ctrlPr>
              <w:rPr>
                <w:rFonts w:ascii="Cambria Math" w:hAnsi="Cambria Math"/>
              </w:rPr>
            </m:ctrlPr>
          </m:sub>
        </m:sSub>
      </m:oMath>
      <w:r>
        <w:rPr>
          <w:rFonts w:hint="eastAsia" w:ascii="Times New Roman" w:hAnsi="Times New Roman"/>
        </w:rPr>
        <w:t>时，将循环</w:t>
      </w:r>
      <m:oMath>
        <m:r>
          <m:rPr/>
          <w:rPr>
            <w:rFonts w:ascii="Cambria Math" w:hAnsi="Cambria Math"/>
          </w:rPr>
          <m:t>t</m:t>
        </m:r>
      </m:oMath>
      <w:r>
        <w:rPr>
          <w:rFonts w:hint="eastAsia" w:ascii="Times New Roman" w:hAnsi="Times New Roman"/>
        </w:rPr>
        <w:t>判定为寿命终止循环。</w:t>
      </w:r>
    </w:p>
    <w:p w14:paraId="7FC37ECF">
      <w:pPr>
        <w:ind w:firstLine="440"/>
        <w:rPr>
          <w:rFonts w:ascii="Times New Roman" w:hAnsi="Times New Roman"/>
        </w:rPr>
      </w:pPr>
      <w:r>
        <w:rPr>
          <w:rFonts w:ascii="Times New Roman" w:hAnsi="Times New Roman"/>
        </w:rPr>
        <w:t>记寿命终止循环位置为</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，观测窗口起始循环位置为</w:t>
      </w:r>
      <m:oMath>
        <m:r>
          <m:rPr/>
          <w:rPr>
            <w:rFonts w:ascii="Cambria Math" w:hAnsi="Cambria Math"/>
          </w:rPr>
          <m:t>c</m:t>
        </m:r>
      </m:oMath>
      <w:r>
        <w:rPr>
          <w:rFonts w:ascii="Times New Roman" w:hAnsi="Times New Roman"/>
        </w:rPr>
        <w:t>（即当前观测循环位置</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now</m:t>
            </m:r>
            <m:ctrlPr>
              <w:rPr>
                <w:rFonts w:ascii="Cambria Math" w:hAnsi="Cambria Math"/>
              </w:rPr>
            </m:ctrlPr>
          </m:sub>
        </m:sSub>
        <m:r>
          <m:rPr/>
          <w:rPr>
            <w:rFonts w:ascii="Cambria Math" w:hAnsi="Cambria Math"/>
          </w:rPr>
          <m:t>=c</m:t>
        </m:r>
      </m:oMath>
      <w:r>
        <w:rPr>
          <w:rFonts w:ascii="Times New Roman" w:hAnsi="Times New Roman"/>
        </w:rPr>
        <w:t>），并统一采用同一索引基准，则该窗口的RUL标签为：</w:t>
      </w:r>
    </w:p>
    <w:p w14:paraId="79F74D4B">
      <w:pPr>
        <w:ind w:firstLine="440"/>
        <w:rPr>
          <w:rFonts w:ascii="Times New Roman" w:hAnsi="Times New Roman"/>
        </w:rPr>
      </w:pPr>
      <w:commentRangeStart w:id="3"/>
      <w:r>
        <w:rPr>
          <w:rFonts w:ascii="Times New Roman" w:hAnsi="Times New Roman"/>
        </w:rPr>
        <w:t>以寿命终止循环位置和观测窗口起始循环位置之差作为监督标签，RUL标签定义如公式（9）所示：</w:t>
      </w:r>
      <w:commentRangeEnd w:id="3"/>
      <w:r>
        <w:commentReference w:id="3"/>
      </w:r>
    </w:p>
    <w:p w14:paraId="09E4BD52">
      <w:pPr>
        <w:jc w:val="center"/>
        <w:rPr>
          <w:rFonts w:ascii="Times New Roman" w:hAnsi="Times New Roman"/>
        </w:rPr>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r>
          <m:rPr/>
          <w:rPr>
            <w:rFonts w:ascii="Cambria Math" w:hAnsi="Cambria Math"/>
          </w:rPr>
          <m:t>−c</m:t>
        </m:r>
      </m:oMath>
      <w:r>
        <w:rPr>
          <w:rFonts w:ascii="Times New Roman" w:hAnsi="Times New Roman"/>
        </w:rPr>
        <w:t>（9）</w:t>
      </w:r>
    </w:p>
    <w:p w14:paraId="055EB7EA">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c</m:t>
            </m:r>
            <m:ctrlPr>
              <w:rPr>
                <w:rFonts w:ascii="Cambria Math" w:hAnsi="Cambria Math"/>
                <w:i/>
              </w:rPr>
            </m:ctrlPr>
          </m:sub>
        </m:sSub>
      </m:oMath>
      <w:r>
        <w:rPr>
          <w:rFonts w:ascii="Times New Roman" w:hAnsi="Times New Roman"/>
        </w:rPr>
        <w:t>表示观测窗口起始循环位置为</w:t>
      </w:r>
      <m:oMath>
        <m:r>
          <m:rPr/>
          <w:rPr>
            <w:rFonts w:ascii="Cambria Math" w:hAnsi="Cambria Math"/>
          </w:rPr>
          <m:t>c</m:t>
        </m:r>
      </m:oMath>
      <w:r>
        <w:rPr>
          <w:rFonts w:ascii="Times New Roman" w:hAnsi="Times New Roman"/>
        </w:rPr>
        <w:t>时的真实RUL标签；</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EOL</m:t>
            </m:r>
            <m:ctrlPr>
              <w:rPr>
                <w:rFonts w:ascii="Cambria Math" w:hAnsi="Cambria Math"/>
                <w:i/>
              </w:rPr>
            </m:ctrlPr>
          </m:sub>
        </m:sSub>
      </m:oMath>
      <w:r>
        <w:rPr>
          <w:rFonts w:ascii="Times New Roman" w:hAnsi="Times New Roman"/>
        </w:rPr>
        <w:t>表示寿命终止循环位置；</w:t>
      </w:r>
      <m:oMath>
        <m:r>
          <m:rPr/>
          <w:rPr>
            <w:rFonts w:ascii="Cambria Math" w:hAnsi="Cambria Math"/>
          </w:rPr>
          <m:t>c</m:t>
        </m:r>
      </m:oMath>
      <w:r>
        <w:rPr>
          <w:rFonts w:ascii="Times New Roman" w:hAnsi="Times New Roman"/>
        </w:rPr>
        <w:t>表示当前观测窗口起始循环位置；标签单位为循环数。</w:t>
      </w:r>
    </w:p>
    <w:p w14:paraId="273F987B">
      <w:pPr>
        <w:ind w:firstLine="440"/>
        <w:rPr>
          <w:rFonts w:ascii="Times New Roman" w:hAnsi="Times New Roman"/>
        </w:rPr>
      </w:pPr>
      <w:r>
        <w:rPr>
          <w:rFonts w:ascii="Times New Roman" w:hAnsi="Times New Roman"/>
        </w:rPr>
        <w:t>对于尚未在观测范围内出现寿命终止的电池，</w:t>
      </w:r>
      <w:r>
        <w:rPr>
          <w:rFonts w:hint="eastAsia" w:ascii="Times New Roman" w:hAnsi="Times New Roman"/>
        </w:rPr>
        <w:t>可依据完整寿命记录确定</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EOL</m:t>
            </m:r>
            <m:ctrlPr>
              <w:rPr>
                <w:rFonts w:ascii="Cambria Math" w:hAnsi="Cambria Math"/>
              </w:rPr>
            </m:ctrlPr>
          </m:sub>
        </m:sSub>
      </m:oMath>
      <w:r>
        <w:rPr>
          <w:rFonts w:ascii="Times New Roman" w:hAnsi="Times New Roman"/>
        </w:rPr>
        <w:t>；若无法可靠确定终止位置，则将对应样本标记为无效。训练时可对标签进行单调变换和标准化，评价和部署前执行逆变换恢复为循环数，且变换参数由训练数据确定并在推理阶段保持不变。</w:t>
      </w:r>
    </w:p>
    <w:p w14:paraId="4DC9682C">
      <w:pPr>
        <w:pStyle w:val="4"/>
        <w:rPr>
          <w:rFonts w:ascii="Times New Roman" w:hAnsi="Times New Roman" w:eastAsia="宋体"/>
        </w:rPr>
      </w:pPr>
      <w:r>
        <w:rPr>
          <w:rFonts w:ascii="Times New Roman" w:hAnsi="Times New Roman" w:eastAsia="宋体"/>
        </w:rPr>
        <w:t>5.S2：输入整理与共享潜在变量投影</w:t>
      </w:r>
    </w:p>
    <w:p w14:paraId="42AE3062">
      <w:pPr>
        <w:pStyle w:val="5"/>
        <w:rPr>
          <w:rFonts w:ascii="Times New Roman" w:hAnsi="Times New Roman"/>
        </w:rPr>
      </w:pPr>
      <w:r>
        <w:rPr>
          <w:rFonts w:ascii="Times New Roman" w:hAnsi="Times New Roman"/>
        </w:rPr>
        <w:t>5.1输入整理</w:t>
      </w:r>
    </w:p>
    <w:p w14:paraId="2F82F59F">
      <w:pPr>
        <w:ind w:firstLine="440"/>
        <w:rPr>
          <w:rFonts w:ascii="Times New Roman" w:hAnsi="Times New Roman"/>
        </w:rPr>
      </w:pPr>
      <w:r>
        <w:rPr>
          <w:rFonts w:ascii="Times New Roman" w:hAnsi="Times New Roman"/>
        </w:rPr>
        <w:t>四维输入按照批量、通道、循环和循环内采样点组织。对每一个样本的每一个循环，将</w:t>
      </w:r>
      <m:oMath>
        <m:r>
          <m:rPr/>
          <w:rPr>
            <w:rFonts w:ascii="Cambria Math" w:hAnsi="Cambria Math"/>
          </w:rPr>
          <m:t>C</m:t>
        </m:r>
      </m:oMath>
      <w:r>
        <w:rPr>
          <w:rFonts w:ascii="Times New Roman" w:hAnsi="Times New Roman"/>
        </w:rPr>
        <w:t>个通道的</w:t>
      </w:r>
      <m:oMath>
        <m:r>
          <m:rPr/>
          <w:rPr>
            <w:rFonts w:ascii="Cambria Math" w:hAnsi="Cambria Math"/>
          </w:rPr>
          <m:t>W</m:t>
        </m:r>
      </m:oMath>
      <w:r>
        <w:rPr>
          <w:rFonts w:ascii="Times New Roman" w:hAnsi="Times New Roman"/>
        </w:rPr>
        <w:t>个采样值按固定顺序排列为一个</w:t>
      </w:r>
      <m:oMath>
        <m:r>
          <m:rPr/>
          <w:rPr>
            <w:rFonts w:ascii="Cambria Math" w:hAnsi="Cambria Math"/>
          </w:rPr>
          <m:t>F</m:t>
        </m:r>
      </m:oMath>
      <w:r>
        <w:rPr>
          <w:rFonts w:ascii="Times New Roman" w:hAnsi="Times New Roman"/>
        </w:rPr>
        <w:t>维循环特征向量；三维输入则直接视为批量、循环和特征三维序列。该整理仅改变排列顺序，不改变采样值及其循环位置。</w:t>
      </w:r>
    </w:p>
    <w:p w14:paraId="6AF8447E">
      <w:pPr>
        <w:ind w:firstLine="440"/>
        <w:rPr>
          <w:rFonts w:ascii="Times New Roman" w:hAnsi="Times New Roman"/>
        </w:rPr>
      </w:pPr>
      <w:r>
        <w:rPr>
          <w:rFonts w:ascii="Times New Roman" w:hAnsi="Times New Roman"/>
        </w:rPr>
        <w:t>将每个循环的多通道采样值展开为循环特征向量，并得到循环序列矩阵，整理关系定义如公式（10）所示：</w:t>
      </w:r>
    </w:p>
    <w:p w14:paraId="4E159C51">
      <w:pPr>
        <w:jc w:val="center"/>
        <w:rPr>
          <w:rFonts w:ascii="Times New Roman" w:hAnsi="Times New Roman"/>
        </w:rPr>
      </w:pPr>
      <m:oMath>
        <m:r>
          <m:rPr/>
          <w:rPr>
            <w:rFonts w:ascii="Cambria Math" w:hAnsi="Cambria Math"/>
          </w:rPr>
          <m:t>F=CW,</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=vec</m:t>
        </m:r>
        <m:d>
          <m:dPr>
            <m:ctrlPr>
              <w:rPr>
                <w:rFonts w:ascii="Cambria Math" w:hAnsi="Cambria Math"/>
              </w:rPr>
            </m:ctrlPr>
          </m:dPr>
          <m:e>
            <m:sSubSup>
              <m:sSubSupPr>
                <m:ctrlPr>
                  <w:rPr>
                    <w:rFonts w:ascii="Cambria Math" w:hAnsi="Cambria Math"/>
                  </w:rPr>
                </m:ctrlPr>
              </m:sSubSup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up>
                <m:r>
                  <m:rPr/>
                  <w:rPr>
                    <w:rFonts w:ascii="Cambria Math" w:hAnsi="Cambria Math"/>
                  </w:rPr>
                  <m:t>raw</m:t>
                </m:r>
                <m:ctrlPr>
                  <w:rPr>
                    <w:rFonts w:ascii="Cambria Math" w:hAnsi="Cambria Math"/>
                  </w:rPr>
                </m:ctrlPr>
              </m:sup>
            </m:sSubSup>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F</m:t>
            </m:r>
            <m:ctrlPr>
              <w:rPr>
                <w:rFonts w:ascii="Cambria Math" w:hAnsi="Cambria Math"/>
              </w:rPr>
            </m:ctrlPr>
          </m:sup>
        </m:sSup>
        <m:r>
          <m:rPr/>
          <w:rPr>
            <w:rFonts w:ascii="Cambria Math" w:hAnsi="Cambria Math"/>
          </w:rPr>
          <m:t>,X∈</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B×H×F</m:t>
            </m:r>
            <m:ctrlPr>
              <w:rPr>
                <w:rFonts w:ascii="Cambria Math" w:hAnsi="Cambria Math"/>
              </w:rPr>
            </m:ctrlPr>
          </m:sup>
        </m:sSup>
      </m:oMath>
      <w:r>
        <w:rPr>
          <w:rFonts w:ascii="Times New Roman" w:hAnsi="Times New Roman"/>
        </w:rPr>
        <w:t>（10）</w:t>
      </w:r>
    </w:p>
    <w:p w14:paraId="6A3CF3B7">
      <w:pPr>
        <w:ind w:firstLine="440"/>
        <w:rPr>
          <w:rFonts w:ascii="Times New Roman" w:hAnsi="Times New Roman"/>
        </w:rPr>
      </w:pPr>
      <w:r>
        <w:rPr>
          <w:rFonts w:ascii="Times New Roman" w:hAnsi="Times New Roman"/>
        </w:rPr>
        <w:t>其中，</w:t>
      </w:r>
      <m:oMath>
        <m:r>
          <m:rPr/>
          <w:rPr>
            <w:rFonts w:ascii="Cambria Math" w:hAnsi="Cambria Math"/>
          </w:rPr>
          <m:t>F</m:t>
        </m:r>
      </m:oMath>
      <w:r>
        <w:rPr>
          <w:rFonts w:ascii="Times New Roman" w:hAnsi="Times New Roman"/>
        </w:rPr>
        <w:t>表示每个循环展开后的特征维度，满足</w:t>
      </w:r>
      <m:oMath>
        <m:r>
          <m:rPr/>
          <w:rPr>
            <w:rFonts w:ascii="Cambria Math" w:hAnsi="Cambria Math"/>
          </w:rPr>
          <m:t>F=CW</m:t>
        </m:r>
      </m:oMath>
      <w:r>
        <w:rPr>
          <w:rFonts w:ascii="Times New Roman" w:hAnsi="Times New Roman"/>
        </w:rPr>
        <w:t>；</w:t>
      </w:r>
      <m:oMath>
        <m:r>
          <m:rPr/>
          <w:rPr>
            <w:rFonts w:ascii="Cambria Math" w:hAnsi="Cambria Math"/>
          </w:rPr>
          <m:t>vec</m:t>
        </m:r>
      </m:oMath>
      <w:r>
        <w:rPr>
          <w:rFonts w:ascii="Times New Roman" w:hAnsi="Times New Roman"/>
        </w:rPr>
        <w:t>表示按照固定通道顺序和采样位置顺序进行向量化；</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up>
            <m:r>
              <m:rPr/>
              <w:rPr>
                <w:rFonts w:ascii="Cambria Math" w:hAnsi="Cambria Math"/>
              </w:rPr>
              <m:t>raw</m:t>
            </m:r>
            <m:ctrlPr>
              <w:rPr>
                <w:rFonts w:ascii="Cambria Math" w:hAnsi="Cambria Math"/>
                <w:i/>
              </w:rPr>
            </m:ctrlPr>
          </m:sup>
        </m:sSubSup>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t</m:t>
        </m:r>
      </m:oMath>
      <w:r>
        <w:rPr>
          <w:rFonts w:ascii="Times New Roman" w:hAnsi="Times New Roman"/>
        </w:rPr>
        <w:t>个循环的原始特征；</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表示展开后的循环特征向量；</w:t>
      </w:r>
      <m:oMath>
        <m:r>
          <m:rPr/>
          <w:rPr>
            <w:rFonts w:ascii="Cambria Math" w:hAnsi="Cambria Math"/>
          </w:rPr>
          <m:t>X</m:t>
        </m:r>
      </m:oMath>
      <w:r>
        <w:rPr>
          <w:rFonts w:ascii="Times New Roman" w:hAnsi="Times New Roman"/>
        </w:rPr>
        <w:t>表示整理后的循环序列矩阵。</w:t>
      </w:r>
    </w:p>
    <w:p w14:paraId="2E1ABB2D">
      <w:pPr>
        <w:pStyle w:val="5"/>
        <w:rPr>
          <w:rFonts w:ascii="Times New Roman" w:hAnsi="Times New Roman"/>
        </w:rPr>
      </w:pPr>
      <w:r>
        <w:rPr>
          <w:rFonts w:ascii="Times New Roman" w:hAnsi="Times New Roman"/>
        </w:rPr>
        <w:t>5.2共享潜在变量投影</w:t>
      </w:r>
    </w:p>
    <w:p w14:paraId="528B6877">
      <w:pPr>
        <w:ind w:firstLine="440"/>
        <w:rPr>
          <w:rFonts w:ascii="Times New Roman" w:hAnsi="Times New Roman"/>
        </w:rPr>
      </w:pPr>
      <w:r>
        <w:rPr>
          <w:rFonts w:ascii="Times New Roman" w:hAnsi="Times New Roman"/>
        </w:rPr>
        <w:t>对每个样本和每个循环采用同一组可学习参数，将</w:t>
      </w:r>
      <m:oMath>
        <m:r>
          <m:rPr/>
          <w:rPr>
            <w:rFonts w:ascii="Cambria Math" w:hAnsi="Cambria Math"/>
          </w:rPr>
          <m:t>F</m:t>
        </m:r>
      </m:oMath>
      <w:r>
        <w:rPr>
          <w:rFonts w:ascii="Times New Roman" w:hAnsi="Times New Roman"/>
        </w:rPr>
        <w:t>维循环特征映射为</w:t>
      </w:r>
      <m:oMath>
        <m:r>
          <m:rPr/>
          <w:rPr>
            <w:rFonts w:ascii="Cambria Math" w:hAnsi="Cambria Math"/>
          </w:rPr>
          <m:t>V</m:t>
        </m:r>
      </m:oMath>
      <w:r>
        <w:rPr>
          <w:rFonts w:ascii="Times New Roman" w:hAnsi="Times New Roman"/>
        </w:rPr>
        <w:t>个潜在变量。映射不混合不同循环位置，因此保留循环顺序；同一潜在变量索引同时供两条支路使用，保证逐变量对齐。</w:t>
      </w:r>
    </w:p>
    <w:p w14:paraId="3F5E915E">
      <w:pPr>
        <w:ind w:firstLine="440"/>
        <w:rPr>
          <w:rFonts w:ascii="Times New Roman" w:hAnsi="Times New Roman"/>
        </w:rPr>
      </w:pPr>
      <w:r>
        <w:rPr>
          <w:rFonts w:ascii="Times New Roman" w:hAnsi="Times New Roman"/>
        </w:rPr>
        <w:t>对每个循环特征向量施加共享线性投影，将原始特征映射至潜在变量空间，投影结果定义如公式（11）所示：</w:t>
      </w:r>
    </w:p>
    <w:p w14:paraId="49338322">
      <w:pPr>
        <w:jc w:val="center"/>
        <w:rPr>
          <w:rFonts w:ascii="Times New Roman" w:hAnsi="Times New Roman"/>
        </w:rPr>
      </w:pPr>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b,t,: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,Z∈</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B×H×V</m:t>
            </m:r>
            <m:ctrlPr>
              <w:rPr>
                <w:rFonts w:ascii="Cambria Math" w:hAnsi="Cambria Math"/>
              </w:rPr>
            </m:ctrlPr>
          </m:sup>
        </m:sSup>
      </m:oMath>
      <w:r>
        <w:rPr>
          <w:rFonts w:ascii="Times New Roman" w:hAnsi="Times New Roman"/>
        </w:rPr>
        <w:t>（11）</w:t>
      </w:r>
    </w:p>
    <w:p w14:paraId="6A3EA2EE">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t</m:t>
        </m:r>
      </m:oMath>
      <w:r>
        <w:rPr>
          <w:rFonts w:ascii="Times New Roman" w:hAnsi="Times New Roman"/>
        </w:rPr>
        <w:t>个循环的</w:t>
      </w:r>
      <m:oMath>
        <m:r>
          <m:rPr/>
          <w:rPr>
            <w:rFonts w:ascii="Cambria Math" w:hAnsi="Cambria Math"/>
          </w:rPr>
          <m:t>V</m:t>
        </m:r>
      </m:oMath>
      <w:r>
        <w:rPr>
          <w:rFonts w:ascii="Times New Roman" w:hAnsi="Times New Roman"/>
        </w:rPr>
        <w:t>维潜在变量向量；</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b,t,:</m:t>
            </m:r>
            <m:ctrlPr>
              <w:rPr>
                <w:rFonts w:ascii="Cambria Math" w:hAnsi="Cambria Math"/>
                <w:i/>
              </w:rPr>
            </m:ctrlPr>
          </m:sub>
        </m:sSub>
      </m:oMath>
      <w:r>
        <w:rPr>
          <w:rFonts w:ascii="Times New Roman" w:hAnsi="Times New Roman"/>
        </w:rPr>
        <w:t>表示</w:t>
      </w:r>
      <m:oMath>
        <m:r>
          <m:rPr/>
          <w:rPr>
            <w:rFonts w:ascii="Cambria Math" w:hAnsi="Cambria Math"/>
          </w:rPr>
          <m:t>F</m:t>
        </m:r>
      </m:oMath>
      <w:r>
        <w:rPr>
          <w:rFonts w:ascii="Times New Roman" w:hAnsi="Times New Roman"/>
        </w:rPr>
        <w:t>维循环特征向量；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表示共享投影矩阵，维度为</w:t>
      </w:r>
      <m:oMath>
        <m:r>
          <m:rPr/>
          <w:rPr>
            <w:rFonts w:ascii="Cambria Math" w:hAnsi="Cambria Math"/>
          </w:rPr>
          <m:t>F×V</m:t>
        </m:r>
      </m:oMath>
      <w:r>
        <w:rPr>
          <w:rFonts w:ascii="Times New Roman" w:hAnsi="Times New Roman"/>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w:t>
      </w:r>
      <m:oMath>
        <m:r>
          <m:rPr/>
          <w:rPr>
            <w:rFonts w:ascii="Cambria Math" w:hAnsi="Cambria Math"/>
          </w:rPr>
          <m:t>V</m:t>
        </m:r>
      </m:oMath>
      <w:r>
        <w:rPr>
          <w:rFonts w:ascii="Times New Roman" w:hAnsi="Times New Roman"/>
        </w:rPr>
        <w:t>维偏置向量；</w:t>
      </w:r>
      <m:oMath>
        <m:r>
          <m:rPr/>
          <w:rPr>
            <w:rFonts w:ascii="Cambria Math" w:hAnsi="Cambria Math"/>
          </w:rPr>
          <m:t>B</m:t>
        </m:r>
      </m:oMath>
      <w:r>
        <w:rPr>
          <w:rFonts w:ascii="Times New Roman" w:hAnsi="Times New Roman"/>
        </w:rPr>
        <w:t>、</w:t>
      </w:r>
      <m:oMath>
        <m:r>
          <m:rPr/>
          <w:rPr>
            <w:rFonts w:ascii="Cambria Math" w:hAnsi="Cambria Math"/>
          </w:rPr>
          <m:t>H</m:t>
        </m:r>
      </m:oMath>
      <w:r>
        <w:rPr>
          <w:rFonts w:ascii="Times New Roman" w:hAnsi="Times New Roman"/>
        </w:rPr>
        <w:t>和</w:t>
      </w:r>
      <m:oMath>
        <m:r>
          <m:rPr/>
          <w:rPr>
            <w:rFonts w:ascii="Cambria Math" w:hAnsi="Cambria Math"/>
          </w:rPr>
          <m:t>V</m:t>
        </m:r>
      </m:oMath>
      <w:r>
        <w:rPr>
          <w:rFonts w:ascii="Times New Roman" w:hAnsi="Times New Roman"/>
        </w:rPr>
        <w:t>分别表示样本数、循环数和潜在变量数。</w:t>
      </w:r>
    </w:p>
    <w:p w14:paraId="583A8A63">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F×V</m:t>
            </m:r>
            <m:ctrlPr>
              <w:rPr>
                <w:rFonts w:ascii="Cambria Math" w:hAnsi="Cambria Math"/>
              </w:rPr>
            </m:ctrlPr>
          </m:sup>
        </m:sSup>
      </m:oMath>
      <w:r>
        <w:rPr>
          <w:rFonts w:ascii="Times New Roman" w:hAnsi="Times New Roman"/>
        </w:rPr>
        <w:t>为共享投影矩阵，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V</m:t>
            </m:r>
            <m:ctrlPr>
              <w:rPr>
                <w:rFonts w:ascii="Cambria Math" w:hAnsi="Cambria Math"/>
              </w:rPr>
            </m:ctrlPr>
          </m:sup>
        </m:sSup>
      </m:oMath>
      <w:r>
        <w:rPr>
          <w:rFonts w:ascii="Times New Roman" w:hAnsi="Times New Roman"/>
        </w:rPr>
        <w:t>为偏置，</w:t>
      </w:r>
      <m:oMath>
        <m:r>
          <m:rPr/>
          <w:rPr>
            <w:rFonts w:ascii="Cambria Math" w:hAnsi="Cambria Math"/>
          </w:rPr>
          <m:t>V</m:t>
        </m:r>
      </m:oMath>
      <w:r>
        <w:rPr>
          <w:rFonts w:ascii="Times New Roman" w:hAnsi="Times New Roman"/>
        </w:rPr>
        <w:t>为潜在变量数量；投影参数在所有循环位置共享，但在训练过程中通过损失函数更新。</w:t>
      </w:r>
    </w:p>
    <w:p w14:paraId="58DBEC67">
      <w:pPr>
        <w:pStyle w:val="4"/>
        <w:rPr>
          <w:rFonts w:ascii="Times New Roman" w:hAnsi="Times New Roman" w:eastAsia="宋体"/>
        </w:rPr>
      </w:pPr>
      <w:r>
        <w:rPr>
          <w:rFonts w:ascii="Times New Roman" w:hAnsi="Times New Roman" w:eastAsia="宋体"/>
        </w:rPr>
        <w:t>6.S3：样本级循环归一化</w:t>
      </w:r>
    </w:p>
    <w:p w14:paraId="08090F9A">
      <w:pPr>
        <w:ind w:firstLine="440"/>
        <w:rPr>
          <w:rFonts w:ascii="Times New Roman" w:hAnsi="Times New Roman"/>
        </w:rPr>
      </w:pPr>
      <w:r>
        <w:rPr>
          <w:rFonts w:ascii="Times New Roman" w:hAnsi="Times New Roman"/>
        </w:rPr>
        <w:t>针对第</w:t>
      </w:r>
      <m:oMath>
        <m:r>
          <m:rPr/>
          <w:rPr>
            <w:rFonts w:ascii="Cambria Math" w:hAnsi="Cambria Math"/>
          </w:rPr>
          <m:t>b</m:t>
        </m:r>
      </m:oMath>
      <w:r>
        <w:rPr>
          <w:rFonts w:ascii="Times New Roman" w:hAnsi="Times New Roman"/>
        </w:rPr>
        <w:t>个样本的第</w:t>
      </w:r>
      <m:oMath>
        <m:r>
          <m:rPr/>
          <w:rPr>
            <w:rFonts w:ascii="Cambria Math" w:hAnsi="Cambria Math"/>
          </w:rPr>
          <m:t>v</m:t>
        </m:r>
      </m:oMath>
      <w:r>
        <w:rPr>
          <w:rFonts w:ascii="Times New Roman" w:hAnsi="Times New Roman"/>
        </w:rPr>
        <w:t>个潜在变量，沿</w:t>
      </w:r>
      <m:oMath>
        <m:r>
          <m:rPr/>
          <w:rPr>
            <w:rFonts w:ascii="Cambria Math" w:hAnsi="Cambria Math"/>
          </w:rPr>
          <m:t>H</m:t>
        </m:r>
      </m:oMath>
      <w:r>
        <w:rPr>
          <w:rFonts w:ascii="Times New Roman" w:hAnsi="Times New Roman"/>
        </w:rPr>
        <w:t>个循环位置计算样本内均值和总体标准差。下式中的</w:t>
      </w:r>
      <m:oMath>
        <m:r>
          <m:rPr/>
          <w:rPr>
            <w:rFonts w:ascii="Cambria Math" w:hAnsi="Cambria Math"/>
          </w:rPr>
          <m:t>t</m:t>
        </m:r>
      </m:oMath>
      <w:r>
        <w:rPr>
          <w:rFonts w:ascii="Times New Roman" w:hAnsi="Times New Roman"/>
        </w:rPr>
        <w:t>取值为1至</w:t>
      </w:r>
      <m:oMath>
        <m:r>
          <m:rPr/>
          <w:rPr>
            <w:rFonts w:ascii="Cambria Math" w:hAnsi="Cambria Math"/>
          </w:rPr>
          <m:t>H</m:t>
        </m:r>
      </m:oMath>
      <w:r>
        <w:rPr>
          <w:rFonts w:ascii="Times New Roman" w:hAnsi="Times New Roman"/>
        </w:rPr>
        <w:t>，</w:t>
      </w:r>
      <m:oMath>
        <m:r>
          <m:rPr/>
          <w:rPr>
            <w:rFonts w:ascii="Cambria Math" w:hAnsi="Cambria Math"/>
          </w:rPr>
          <m:t>b</m:t>
        </m:r>
      </m:oMath>
      <w:r>
        <w:rPr>
          <w:rFonts w:ascii="Times New Roman" w:hAnsi="Times New Roman"/>
        </w:rPr>
        <w:t>取值为1至B，</w:t>
      </w:r>
      <m:oMath>
        <m:r>
          <m:rPr/>
          <w:rPr>
            <w:rFonts w:ascii="Cambria Math" w:hAnsi="Cambria Math"/>
          </w:rPr>
          <m:t>v</m:t>
        </m:r>
      </m:oMath>
      <w:r>
        <w:rPr>
          <w:rFonts w:ascii="Times New Roman" w:hAnsi="Times New Roman"/>
        </w:rPr>
        <w:t>取值为1至V。</w:t>
      </w:r>
    </w:p>
    <w:p w14:paraId="1FC44C7E">
      <w:pPr>
        <w:ind w:firstLine="440"/>
        <w:rPr>
          <w:rFonts w:ascii="Times New Roman" w:hAnsi="Times New Roman"/>
        </w:rPr>
      </w:pPr>
      <w:r>
        <w:rPr>
          <w:rFonts w:ascii="Times New Roman" w:hAnsi="Times New Roman"/>
        </w:rPr>
        <w:t>针对每个样本和潜在变量沿循环维计算均值及总体标准差，统计量定义如公式（12）所示：</w:t>
      </w:r>
    </w:p>
    <w:p w14:paraId="5EA834CD">
      <w:pPr>
        <w:jc w:val="center"/>
        <w:rPr>
          <w:rFonts w:ascii="Times New Roman" w:hAnsi="Times New Roman"/>
        </w:rPr>
      </w:pPr>
      <m:oMath>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ctrlPr>
              <w:rPr>
                <w:rFonts w:ascii="Cambria Math" w:hAnsi="Cambria Math"/>
              </w:rPr>
            </m:ctrlPr>
          </m:den>
        </m:f>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H</m:t>
            </m:r>
            <m:ctrlPr>
              <w:rPr>
                <w:rFonts w:ascii="Cambria Math" w:hAnsi="Cambria Math"/>
              </w:rPr>
            </m:ctrlPr>
          </m:sup>
        </m:sSubSup>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H</m:t>
                </m:r>
                <m:ctrlPr>
                  <w:rPr>
                    <w:rFonts w:ascii="Cambria Math" w:hAnsi="Cambria Math"/>
                  </w:rPr>
                </m:ctrlPr>
              </m:den>
            </m:f>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t=1</m:t>
                </m:r>
                <m:ctrlPr>
                  <w:rPr>
                    <w:rFonts w:ascii="Cambria Math" w:hAnsi="Cambria Math"/>
                  </w:rPr>
                </m:ctrlPr>
              </m:sub>
              <m:sup>
                <m:r>
                  <m:rPr/>
                  <w:rPr>
                    <w:rFonts w:ascii="Cambria Math" w:hAnsi="Cambria Math"/>
                  </w:rPr>
                  <m:t>H</m:t>
                </m:r>
                <m:ctrlPr>
                  <w:rPr>
                    <w:rFonts w:ascii="Cambria Math" w:hAnsi="Cambria Math"/>
                  </w:rPr>
                </m:ctrlP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w:r>
        <w:rPr>
          <w:rFonts w:ascii="Times New Roman" w:hAnsi="Times New Roman"/>
        </w:rPr>
        <w:t>（12）</w:t>
      </w:r>
    </w:p>
    <w:p w14:paraId="329691A6">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个潜在变量在</w:t>
      </w:r>
      <m:oMath>
        <m:r>
          <m:rPr/>
          <w:rPr>
            <w:rFonts w:ascii="Cambria Math" w:hAnsi="Cambria Math"/>
          </w:rPr>
          <m:t>H</m:t>
        </m:r>
      </m:oMath>
      <w:r>
        <w:rPr>
          <w:rFonts w:ascii="Times New Roman" w:hAnsi="Times New Roman"/>
        </w:rPr>
        <w:t>个循环位置上的均值；</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表示对应的总体标准差；</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b,t,v</m:t>
            </m:r>
            <m:ctrlPr>
              <w:rPr>
                <w:rFonts w:ascii="Cambria Math" w:hAnsi="Cambria Math"/>
                <w:i/>
              </w:rPr>
            </m:ctrlPr>
          </m:sub>
        </m:sSub>
      </m:oMath>
      <w:r>
        <w:rPr>
          <w:rFonts w:ascii="Times New Roman" w:hAnsi="Times New Roman"/>
        </w:rPr>
        <w:t>表示潜在变量值；</w:t>
      </w:r>
      <m:oMath>
        <m:r>
          <m:rPr/>
          <w:rPr>
            <w:rFonts w:ascii="Cambria Math" w:hAnsi="Cambria Math"/>
          </w:rPr>
          <m:t>b</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B</m:t>
        </m:r>
      </m:oMath>
      <w:r>
        <w:rPr>
          <w:rFonts w:ascii="Times New Roman" w:hAnsi="Times New Roman"/>
        </w:rPr>
        <w:t>，</w:t>
      </w:r>
      <m:oMath>
        <m:r>
          <m:rPr/>
          <w:rPr>
            <w:rFonts w:ascii="Cambria Math" w:hAnsi="Cambria Math"/>
          </w:rPr>
          <m:t>v</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V</m:t>
        </m:r>
      </m:oMath>
      <w:r>
        <w:rPr>
          <w:rFonts w:ascii="Times New Roman" w:hAnsi="Times New Roman"/>
        </w:rPr>
        <w:t>，</w:t>
      </w:r>
      <m:oMath>
        <m:r>
          <m:rPr/>
          <w:rPr>
            <w:rFonts w:ascii="Cambria Math" w:hAnsi="Cambria Math"/>
          </w:rPr>
          <m:t>t</m:t>
        </m:r>
      </m:oMath>
      <w:r>
        <w:rPr>
          <w:rFonts w:ascii="Times New Roman" w:hAnsi="Times New Roman"/>
        </w:rPr>
        <w:t>取</w:t>
      </w:r>
      <m:oMath>
        <m:r>
          <m:rPr/>
          <w:rPr>
            <w:rFonts w:ascii="Cambria Math" w:hAnsi="Cambria Math"/>
          </w:rPr>
          <m:t>1</m:t>
        </m:r>
      </m:oMath>
      <w:r>
        <w:rPr>
          <w:rFonts w:ascii="Times New Roman" w:hAnsi="Times New Roman"/>
        </w:rPr>
        <w:t>至</w:t>
      </w:r>
      <m:oMath>
        <m:r>
          <m:rPr/>
          <w:rPr>
            <w:rFonts w:ascii="Cambria Math" w:hAnsi="Cambria Math"/>
          </w:rPr>
          <m:t>H</m:t>
        </m:r>
      </m:oMath>
      <w:r>
        <w:rPr>
          <w:rFonts w:ascii="Times New Roman" w:hAnsi="Times New Roman"/>
        </w:rPr>
        <w:t>。</w:t>
      </w:r>
    </w:p>
    <w:p w14:paraId="75FE7C9A">
      <w:pPr>
        <w:ind w:firstLine="440"/>
        <w:rPr>
          <w:rFonts w:ascii="Times New Roman" w:hAnsi="Times New Roman"/>
        </w:rPr>
      </w:pPr>
      <w:r>
        <w:rPr>
          <w:rFonts w:ascii="Times New Roman" w:hAnsi="Times New Roman"/>
        </w:rPr>
        <w:t>以正数</w:t>
      </w:r>
      <m:oMath>
        <m:r>
          <m:rPr/>
          <w:rPr>
            <w:rFonts w:ascii="Cambria Math" w:hAnsi="Cambria Math"/>
          </w:rPr>
          <m:t>ε</m:t>
        </m:r>
      </m:oMath>
      <w:r>
        <w:rPr>
          <w:rFonts w:ascii="Times New Roman" w:hAnsi="Times New Roman"/>
        </w:rPr>
        <w:t>设置分母下限，得到归一化序列。统计量仅由当前样本的观测窗口计算，因而不需要访问其他电池数据，能够减小个体基线和量程差异；</w:t>
      </w:r>
      <m:oMath>
        <m:r>
          <m:rPr/>
          <w:rPr>
            <w:rFonts w:ascii="Cambria Math" w:hAnsi="Cambria Math"/>
          </w:rPr>
          <m:t>ε</m:t>
        </m:r>
      </m:oMath>
      <w:r>
        <w:rPr>
          <w:rFonts w:ascii="Times New Roman" w:hAnsi="Times New Roman"/>
        </w:rPr>
        <w:t>可按照数值精度和数据量纲预先设定。</w:t>
      </w:r>
    </w:p>
    <w:p w14:paraId="555E4F51">
      <w:pPr>
        <w:ind w:firstLine="440"/>
        <w:rPr>
          <w:rFonts w:ascii="Times New Roman" w:hAnsi="Times New Roman"/>
        </w:rPr>
      </w:pPr>
      <w:r>
        <w:rPr>
          <w:rFonts w:ascii="Times New Roman" w:hAnsi="Times New Roman"/>
        </w:rPr>
        <w:t>利用样本内统计量对潜在变量循环序列进行归一化，并设置分母下限以避免数值不稳定，归一化结果定义如公式（13）所示：</w:t>
      </w:r>
    </w:p>
    <w:p w14:paraId="3EFF21DF">
      <w:pPr>
        <w:jc w:val="center"/>
        <w:rPr>
          <w:rFonts w:ascii="Times New Roman" w:hAnsi="Times New Roman"/>
        </w:rPr>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b,t,v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rPr>
                </m:ctrlPr>
              </m:sub>
            </m:sSub>
            <m:ctrlPr>
              <w:rPr>
                <w:rFonts w:ascii="Cambria Math" w:hAnsi="Cambria Math"/>
              </w:rPr>
            </m:ctrlPr>
          </m:num>
          <m:den>
            <m:func>
              <m:funcPr>
                <m:ctrlPr>
                  <w:rPr>
                    <w:rFonts w:ascii="Cambria Math" w:hAnsi="Cambria Math"/>
                  </w:rPr>
                </m:ctrlPr>
              </m:funcPr>
              <m:fName>
                <m:r>
                  <m:rPr>
                    <m:sty m:val="p"/>
                  </m:rPr>
                  <w:rPr>
                    <w:rFonts w:ascii="Cambria Math" w:hAnsi="Cambria Math"/>
                  </w:rPr>
                  <m:t>max</m:t>
                </m:r>
                <m:ctrlPr>
                  <w:rPr>
                    <w:rFonts w:ascii="Cambria Math" w:hAnsi="Cambria Math"/>
                  </w:rPr>
                </m:ctrlPr>
              </m:fName>
              <m:e>
                <m:d>
                  <m:dPr>
                    <m:ctrlPr>
                      <w:rPr>
                        <w:rFonts w:ascii="Cambria Math" w:hAnsi="Cambria Math"/>
                      </w:rPr>
                    </m:ctrlPr>
                  </m:dPr>
                  <m:e>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,ε</m:t>
                    </m:r>
                    <m:ctrlPr>
                      <w:rPr>
                        <w:rFonts w:ascii="Cambria Math" w:hAnsi="Cambria Math"/>
                      </w:rPr>
                    </m:ctrlPr>
                  </m:e>
                </m:d>
                <m:ctrlPr>
                  <w:rPr>
                    <w:rFonts w:ascii="Cambria Math" w:hAnsi="Cambria Math"/>
                  </w:rPr>
                </m:ctrlPr>
              </m:e>
            </m:func>
            <m:ctrlPr>
              <w:rPr>
                <w:rFonts w:ascii="Cambria Math" w:hAnsi="Cambria Math"/>
              </w:rPr>
            </m:ctrlPr>
          </m:den>
        </m:f>
      </m:oMath>
      <w:r>
        <w:rPr>
          <w:rFonts w:ascii="Times New Roman" w:hAnsi="Times New Roman"/>
        </w:rPr>
        <w:t>（13）</w:t>
      </w:r>
    </w:p>
    <w:p w14:paraId="160175CE">
      <w:pPr>
        <w:ind w:firstLine="440"/>
        <w:rPr>
          <w:rFonts w:ascii="Times New Roman" w:hAnsi="Times New Roman"/>
        </w:rPr>
      </w:pPr>
      <w:r>
        <w:rPr>
          <w:rFonts w:ascii="Times New Roman" w:hAnsi="Times New Roman"/>
        </w:rPr>
        <w:t>其中</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oMath>
      <w:r>
        <w:rPr>
          <w:rFonts w:hint="eastAsia" w:ascii="Times New Roman" w:hAnsi="Times New Roman"/>
        </w:rPr>
        <w:t xml:space="preserve"> </w:t>
      </w:r>
      <w:r>
        <w:rPr>
          <w:rFonts w:ascii="Times New Roman" w:hAnsi="Times New Roman"/>
        </w:rPr>
        <w:t>表示归一化后的潜在变量值；</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b,t,v</m:t>
            </m:r>
            <m:ctrlPr>
              <w:rPr>
                <w:rFonts w:ascii="Cambria Math" w:hAnsi="Cambria Math"/>
                <w:i/>
              </w:rPr>
            </m:ctrlPr>
          </m:sub>
        </m:sSub>
      </m:oMath>
      <w:r>
        <w:rPr>
          <w:rFonts w:ascii="Times New Roman" w:hAnsi="Times New Roman"/>
        </w:rPr>
        <w:t>表示归一化前的潜在变量值；</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分别为公式（12）得到的均值和标准差；</w:t>
      </w:r>
      <m:oMath>
        <m:r>
          <m:rPr/>
          <w:rPr>
            <w:rFonts w:ascii="Cambria Math" w:hAnsi="Cambria Math"/>
          </w:rPr>
          <m:t>ε</m:t>
        </m:r>
      </m:oMath>
      <w:r>
        <w:rPr>
          <w:rFonts w:ascii="Times New Roman" w:hAnsi="Times New Roman"/>
        </w:rPr>
        <w:t>表示预设的正数保护项；</w:t>
      </w:r>
      <m:oMath>
        <m:r>
          <m:rPr/>
          <w:rPr>
            <w:rFonts w:ascii="Cambria Math" w:hAnsi="Cambria Math"/>
          </w:rPr>
          <m:t>max</m:t>
        </m:r>
        <m:d>
          <m:dPr>
            <m:ctrlPr>
              <w:rPr>
                <w:rFonts w:ascii="Cambria Math" w:hAnsi="Cambria Math"/>
                <w:i/>
              </w:rPr>
            </m:ctrlPr>
          </m:dPr>
          <m:e>
            <m:sSub>
              <m:sSubPr>
                <m:ctrlPr>
                  <w:rPr>
                    <w:rFonts w:ascii="Cambria Math" w:hAnsi="Cambria Math"/>
                    <w:i/>
                  </w:rPr>
                </m:ctrlPr>
              </m:sSubPr>
              <m:e>
                <m:r>
                  <m:rPr/>
                  <w:rPr>
                    <w:rFonts w:ascii="Cambria Math" w:hAnsi="Cambria Math"/>
                  </w:rPr>
                  <m:t>σ</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,ε</m:t>
            </m:r>
            <m:ctrlPr>
              <w:rPr>
                <w:rFonts w:ascii="Cambria Math" w:hAnsi="Cambria Math"/>
                <w:i/>
              </w:rPr>
            </m:ctrlPr>
          </m:e>
        </m:d>
      </m:oMath>
      <w:r>
        <w:rPr>
          <w:rFonts w:ascii="Times New Roman" w:hAnsi="Times New Roman"/>
        </w:rPr>
        <w:t>用于保证分母为正。</w:t>
      </w:r>
    </w:p>
    <w:p w14:paraId="5CC340A7">
      <w:pPr>
        <w:pStyle w:val="4"/>
        <w:rPr>
          <w:rFonts w:ascii="Times New Roman" w:hAnsi="Times New Roman" w:eastAsia="宋体"/>
        </w:rPr>
      </w:pPr>
      <w:r>
        <w:rPr>
          <w:rFonts w:ascii="Times New Roman" w:hAnsi="Times New Roman" w:eastAsia="宋体"/>
        </w:rPr>
        <w:t>7.S4：局部循环片段支路</w:t>
      </w:r>
    </w:p>
    <w:p w14:paraId="49941BF0">
      <w:pPr>
        <w:pStyle w:val="5"/>
        <w:rPr>
          <w:rFonts w:ascii="Times New Roman" w:hAnsi="Times New Roman"/>
        </w:rPr>
      </w:pPr>
      <w:r>
        <w:rPr>
          <w:rFonts w:ascii="Times New Roman" w:hAnsi="Times New Roman"/>
        </w:rPr>
        <w:t>7.1局部片段构造</w:t>
      </w:r>
    </w:p>
    <w:p w14:paraId="520094C9">
      <w:pPr>
        <w:ind w:firstLine="440"/>
        <w:rPr>
          <w:rFonts w:ascii="Times New Roman" w:hAnsi="Times New Roman"/>
        </w:rPr>
      </w:pPr>
      <w:r>
        <w:rPr>
          <w:rFonts w:ascii="Times New Roman" w:hAnsi="Times New Roman"/>
        </w:rPr>
        <w:t>将归一化序列按潜在变量索引重新组织，使每个潜在变量对应一条长度为</w:t>
      </w:r>
      <m:oMath>
        <m:r>
          <m:rPr/>
          <w:rPr>
            <w:rFonts w:ascii="Cambria Math" w:hAnsi="Cambria Math"/>
          </w:rPr>
          <m:t>H</m:t>
        </m:r>
      </m:oMath>
      <w:r>
        <w:rPr>
          <w:rFonts w:ascii="Times New Roman" w:hAnsi="Times New Roman"/>
        </w:rPr>
        <w:t>的循环轨迹。沿循环轴以片段长度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和步长</w:t>
      </w:r>
      <m:oMath>
        <m:r>
          <m:rPr/>
          <w:rPr>
            <w:rFonts w:ascii="Cambria Math" w:hAnsi="Cambria Math"/>
          </w:rPr>
          <m:t>s</m:t>
        </m:r>
      </m:oMath>
      <w:r>
        <w:rPr>
          <w:rFonts w:ascii="Times New Roman" w:hAnsi="Times New Roman"/>
        </w:rPr>
        <w:t>滑动切分；末端不足一个完整片段时，按照预设边界规则补齐。为便于下式书写，片段提取部分采用零基索引。</w:t>
      </w:r>
    </w:p>
    <w:p w14:paraId="341AF67B">
      <w:pPr>
        <w:ind w:firstLine="440"/>
        <w:rPr>
          <w:rFonts w:ascii="Times New Roman" w:hAnsi="Times New Roman"/>
        </w:rPr>
      </w:pPr>
      <w:r>
        <w:rPr>
          <w:rFonts w:ascii="Times New Roman" w:hAnsi="Times New Roman"/>
        </w:rPr>
        <w:t>将归一化结果按潜在变量索引重排，使每个潜在变量对应一条循环轨迹，重排关系定义如公式（14）所示：</w:t>
      </w:r>
    </w:p>
    <w:p w14:paraId="7B58D19C">
      <w:pPr>
        <w:ind w:firstLine="440"/>
        <w:jc w:val="center"/>
        <w:rPr>
          <w:rFonts w:ascii="Times New Roman" w:hAnsi="Times New Roman"/>
        </w:rPr>
      </w:pP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m:t>
            </m:r>
            <m:r>
              <m:rPr>
                <m:sty m:val="p"/>
              </m:rPr>
              <w:rPr>
                <w:rFonts w:ascii="Cambria Math" w:hAnsi="Cambria Math"/>
              </w:rPr>
              <m:t>,</m:t>
            </m:r>
            <m:r>
              <m:rPr/>
              <w:rPr>
                <w:rFonts w:ascii="Cambria Math" w:hAnsi="Cambria Math"/>
              </w:rPr>
              <m:t>v</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b,t,v</m:t>
            </m:r>
            <m:ctrlPr>
              <w:rPr>
                <w:rFonts w:ascii="Cambria Math" w:hAnsi="Cambria Math"/>
              </w:rPr>
            </m:ctrlPr>
          </m:sub>
        </m:sSub>
        <m:r>
          <m:rPr>
            <m:sty m:val="p"/>
          </m:rPr>
          <w:rPr>
            <w:rFonts w:ascii="Cambria Math" w:hAnsi="Cambria Math"/>
          </w:rPr>
          <m:t>,</m:t>
        </m:r>
        <m:r>
          <m:rPr/>
          <w:rPr>
            <w:rFonts w:ascii="Cambria Math" w:hAnsi="Cambria Math"/>
          </w:rPr>
          <m:t>U</m:t>
        </m:r>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B</m:t>
            </m:r>
            <m:r>
              <m:rPr>
                <m:sty m:val="p"/>
              </m:rPr>
              <w:rPr>
                <w:rFonts w:hint="eastAsia" w:ascii="Cambria Math" w:hAnsi="Cambria Math"/>
              </w:rPr>
              <m:t>×</m:t>
            </m:r>
            <m:r>
              <m:rPr/>
              <w:rPr>
                <w:rFonts w:ascii="Cambria Math" w:hAnsi="Cambria Math"/>
              </w:rPr>
              <m:t>V</m:t>
            </m:r>
            <m:r>
              <m:rPr>
                <m:sty m:val="p"/>
              </m:rPr>
              <w:rPr>
                <w:rFonts w:hint="eastAsia" w:ascii="Cambria Math" w:hAnsi="Cambria Math"/>
              </w:rPr>
              <m:t>×</m:t>
            </m:r>
            <m:r>
              <m:rPr/>
              <w:rPr>
                <w:rFonts w:ascii="Cambria Math" w:hAnsi="Cambria Math"/>
              </w:rPr>
              <m:t>H</m:t>
            </m:r>
            <m:ctrlPr>
              <w:rPr>
                <w:rFonts w:ascii="Cambria Math" w:hAnsi="Cambria Math"/>
              </w:rPr>
            </m:ctrlPr>
          </m:sup>
        </m:sSup>
      </m:oMath>
      <w:r>
        <w:rPr>
          <w:rFonts w:ascii="Times New Roman" w:hAnsi="Times New Roman"/>
        </w:rPr>
        <w:t>（14）</w:t>
      </w:r>
    </w:p>
    <w:p w14:paraId="2A841209">
      <w:pPr>
        <w:ind w:firstLine="440"/>
        <w:rPr>
          <w:rFonts w:ascii="Times New Roman" w:hAnsi="Times New Roman"/>
        </w:rPr>
      </w:pPr>
      <w:r>
        <w:rPr>
          <w:rFonts w:ascii="Times New Roman" w:hAnsi="Times New Roman"/>
        </w:rPr>
        <w:t>其中，</w:t>
      </w:r>
      <m:oMath>
        <m:r>
          <m:rPr/>
          <w:rPr>
            <w:rFonts w:ascii="Cambria Math" w:hAnsi="Cambria Math"/>
          </w:rPr>
          <m:t>U</m:t>
        </m:r>
      </m:oMath>
      <w:r>
        <w:rPr>
          <w:rFonts w:ascii="Times New Roman" w:hAnsi="Times New Roman"/>
        </w:rPr>
        <w:t>表示重排后的局部支路输入张量，维度为</w:t>
      </w:r>
      <m:oMath>
        <m:r>
          <m:rPr/>
          <w:rPr>
            <w:rFonts w:ascii="Cambria Math" w:hAnsi="Cambria Math"/>
          </w:rPr>
          <m:t>B×V×H</m:t>
        </m:r>
      </m:oMath>
      <w:r>
        <w:rPr>
          <w:rFonts w:ascii="Times New Roman" w:hAnsi="Times New Roman"/>
        </w:rPr>
        <w:t>；</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b,v,t</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个潜在变量在第</w:t>
      </w:r>
      <m:oMath>
        <m:r>
          <m:rPr/>
          <w:rPr>
            <w:rFonts w:ascii="Cambria Math" w:hAnsi="Cambria Math"/>
          </w:rPr>
          <m:t>t</m:t>
        </m:r>
      </m:oMath>
      <w:r>
        <w:rPr>
          <w:rFonts w:ascii="Times New Roman" w:hAnsi="Times New Roman"/>
        </w:rPr>
        <w:t>个循环位置的归一化值；该重排仅交换维度顺序，不改变数值及循环索引。</w:t>
      </w:r>
    </w:p>
    <w:p w14:paraId="27B4B5EB">
      <w:pPr>
        <w:ind w:firstLine="440"/>
        <w:rPr>
          <w:rFonts w:ascii="Times New Roman" w:hAnsi="Times New Roman"/>
        </w:rPr>
      </w:pPr>
      <w:r>
        <w:rPr>
          <w:rFonts w:ascii="Times New Roman" w:hAnsi="Times New Roman"/>
        </w:rPr>
        <w:t>当局部片段延伸至观测窗口末端时，采用边界复制形成固定长度的补齐轨迹，补齐规则定义如公式（15）所示：</w:t>
      </w:r>
    </w:p>
    <w:p w14:paraId="196E51C6">
      <w:pPr>
        <w:jc w:val="center"/>
        <w:rPr>
          <w:rFonts w:ascii="Times New Roman" w:hAnsi="Times New Roman"/>
        </w:rPr>
      </w:pPr>
      <m:oMath>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i/>
              </w:rPr>
            </m:ctrlPr>
          </m:e>
          <m:sub>
            <m:r>
              <m:rPr/>
              <w:rPr>
                <w:rFonts w:ascii="Cambria Math" w:hAnsi="Cambria Math"/>
              </w:rPr>
              <m:t>b,v,t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U</m:t>
            </m:r>
            <m:ctrlPr>
              <w:rPr>
                <w:rFonts w:ascii="Cambria Math" w:hAnsi="Cambria Math"/>
                <w:i/>
              </w:rPr>
            </m:ctrlPr>
          </m:e>
          <m:sub>
            <m:r>
              <m:rPr/>
              <w:rPr>
                <w:rFonts w:ascii="Cambria Math" w:hAnsi="Cambria Math"/>
              </w:rPr>
              <m:t>b,v,min</m:t>
            </m:r>
            <m:d>
              <m:dPr>
                <m:ctrlPr>
                  <w:rPr>
                    <w:rFonts w:ascii="Cambria Math" w:hAnsi="Cambria Math"/>
                  </w:rPr>
                </m:ctrlPr>
              </m:dPr>
              <m:e>
                <m:r>
                  <m:rPr/>
                  <w:rPr>
                    <w:rFonts w:ascii="Cambria Math" w:hAnsi="Cambria Math"/>
                  </w:rPr>
                  <m:t>t,H−1</m:t>
                </m:r>
                <m:ctrlPr>
                  <w:rPr>
                    <w:rFonts w:ascii="Cambria Math" w:hAnsi="Cambria Math"/>
                  </w:rPr>
                </m:ctrlPr>
              </m:e>
            </m:d>
            <m:ctrlPr>
              <w:rPr>
                <w:rFonts w:ascii="Cambria Math" w:hAnsi="Cambria Math"/>
              </w:rPr>
            </m:ctrlPr>
          </m:sub>
        </m:sSub>
        <m:r>
          <m:rPr/>
          <w:rPr>
            <w:rFonts w:ascii="Cambria Math" w:hAnsi="Cambria Math"/>
          </w:rPr>
          <m:t>,0</m:t>
        </m:r>
        <m:r>
          <m:rPr>
            <m:sty m:val="p"/>
          </m:rPr>
          <w:rPr>
            <w:rFonts w:hint="eastAsia" w:ascii="Cambria Math" w:hAnsi="Cambria Math"/>
          </w:rPr>
          <m:t>≤</m:t>
        </m:r>
        <m:r>
          <m:rPr/>
          <w:rPr>
            <w:rFonts w:ascii="Cambria Math" w:hAnsi="Cambria Math"/>
          </w:rPr>
          <m:t>t&lt;H+s</m:t>
        </m:r>
      </m:oMath>
      <w:r>
        <w:rPr>
          <w:rFonts w:ascii="Times New Roman" w:hAnsi="Times New Roman"/>
        </w:rPr>
        <w:t>（15）</w:t>
      </w:r>
    </w:p>
    <w:p w14:paraId="060D5292">
      <w:pPr>
        <w:ind w:firstLine="440"/>
        <w:rPr>
          <w:rFonts w:ascii="Times New Roman" w:hAnsi="Times New Roman"/>
        </w:rPr>
      </w:pPr>
      <w:r>
        <w:rPr>
          <w:rFonts w:ascii="Times New Roman" w:hAnsi="Times New Roman"/>
        </w:rPr>
        <w:t>其中，</w:t>
      </w:r>
      <m:oMath>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i/>
              </w:rPr>
            </m:ctrlPr>
          </m:e>
          <m:sub>
            <m:r>
              <m:rPr/>
              <w:rPr>
                <w:rFonts w:ascii="Cambria Math" w:hAnsi="Cambria Math"/>
              </w:rPr>
              <m:t>b,v,t</m:t>
            </m:r>
            <m:ctrlPr>
              <w:rPr>
                <w:rFonts w:ascii="Cambria Math" w:hAnsi="Cambria Math"/>
              </w:rPr>
            </m:ctrlPr>
          </m:sub>
        </m:sSub>
      </m:oMath>
      <w:r>
        <w:rPr>
          <w:rFonts w:ascii="Times New Roman" w:hAnsi="Times New Roman"/>
        </w:rPr>
        <w:t>表示补齐后的轨迹值；</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b,v,min</m:t>
            </m:r>
            <m:d>
              <m:dPr>
                <m:ctrlPr>
                  <w:rPr>
                    <w:rFonts w:ascii="Cambria Math" w:hAnsi="Cambria Math"/>
                    <w:i/>
                  </w:rPr>
                </m:ctrlPr>
              </m:dPr>
              <m:e>
                <m:r>
                  <m:rPr/>
                  <w:rPr>
                    <w:rFonts w:ascii="Cambria Math" w:hAnsi="Cambria Math"/>
                  </w:rPr>
                  <m:t>t,H−1</m:t>
                </m:r>
                <m:ctrlPr>
                  <w:rPr>
                    <w:rFonts w:ascii="Cambria Math" w:hAnsi="Cambria Math"/>
                    <w:i/>
                  </w:rPr>
                </m:ctrlPr>
              </m:e>
            </m:d>
            <m:ctrlPr>
              <w:rPr>
                <w:rFonts w:ascii="Cambria Math" w:hAnsi="Cambria Math"/>
                <w:i/>
              </w:rPr>
            </m:ctrlPr>
          </m:sub>
        </m:sSub>
      </m:oMath>
      <w:r>
        <w:rPr>
          <w:rFonts w:ascii="Times New Roman" w:hAnsi="Times New Roman"/>
        </w:rPr>
        <w:t>表示当</w:t>
      </w:r>
      <m:oMath>
        <m:r>
          <m:rPr/>
          <w:rPr>
            <w:rFonts w:ascii="Cambria Math" w:hAnsi="Cambria Math"/>
          </w:rPr>
          <m:t>t</m:t>
        </m:r>
      </m:oMath>
      <w:r>
        <w:rPr>
          <w:rFonts w:ascii="Times New Roman" w:hAnsi="Times New Roman"/>
        </w:rPr>
        <w:t>超过原始窗口末端时复制最后一个观测值；</w:t>
      </w:r>
      <m:oMath>
        <m:r>
          <m:rPr/>
          <w:rPr>
            <w:rFonts w:ascii="Cambria Math" w:hAnsi="Cambria Math"/>
          </w:rPr>
          <m:t>H</m:t>
        </m:r>
      </m:oMath>
      <w:r>
        <w:rPr>
          <w:rFonts w:ascii="Times New Roman" w:hAnsi="Times New Roman"/>
        </w:rPr>
        <w:t>表示原始循环窗口长度；</w:t>
      </w:r>
      <m:oMath>
        <m:r>
          <m:rPr/>
          <w:rPr>
            <w:rFonts w:ascii="Cambria Math" w:hAnsi="Cambria Math"/>
          </w:rPr>
          <m:t>s</m:t>
        </m:r>
      </m:oMath>
      <w:r>
        <w:rPr>
          <w:rFonts w:ascii="Times New Roman" w:hAnsi="Times New Roman"/>
        </w:rPr>
        <w:t>表示片段滑动步长；</w:t>
      </w:r>
      <m:oMath>
        <m:r>
          <m:rPr/>
          <w:rPr>
            <w:rFonts w:ascii="Cambria Math" w:hAnsi="Cambria Math"/>
          </w:rPr>
          <m:t>t</m:t>
        </m:r>
      </m:oMath>
      <w:r>
        <w:rPr>
          <w:rFonts w:ascii="Times New Roman" w:hAnsi="Times New Roman"/>
        </w:rPr>
        <w:t>取</w:t>
      </w:r>
      <m:oMath>
        <m:r>
          <m:rPr/>
          <w:rPr>
            <w:rFonts w:ascii="Cambria Math" w:hAnsi="Cambria Math"/>
          </w:rPr>
          <m:t>0</m:t>
        </m:r>
      </m:oMath>
      <w:r>
        <w:rPr>
          <w:rFonts w:ascii="Times New Roman" w:hAnsi="Times New Roman"/>
        </w:rPr>
        <w:t>至</w:t>
      </w:r>
      <m:oMath>
        <m:r>
          <m:rPr/>
          <w:rPr>
            <w:rFonts w:ascii="Cambria Math" w:hAnsi="Cambria Math"/>
          </w:rPr>
          <m:t>H+s−1</m:t>
        </m:r>
      </m:oMath>
      <w:r>
        <w:rPr>
          <w:rFonts w:ascii="Times New Roman" w:hAnsi="Times New Roman"/>
        </w:rPr>
        <w:t>。</w:t>
      </w:r>
    </w:p>
    <w:p w14:paraId="4825621C">
      <w:pPr>
        <w:ind w:firstLine="440"/>
        <w:rPr>
          <w:rFonts w:ascii="Times New Roman" w:hAnsi="Times New Roman"/>
        </w:rPr>
      </w:pPr>
      <w:r>
        <w:rPr>
          <w:rFonts w:ascii="Times New Roman" w:hAnsi="Times New Roman"/>
        </w:rPr>
        <w:t>根据补齐后轨迹长度、片段长度和滑动步长计算局部片段数量，其计算关系定义如公式（16）所示：</w:t>
      </w:r>
    </w:p>
    <w:p w14:paraId="3843D566">
      <w:pPr>
        <w:jc w:val="center"/>
        <w:rPr>
          <w:rFonts w:ascii="Times New Roman" w:hAnsi="Times New Roman"/>
        </w:rPr>
      </w:pP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w:rPr>
                    <w:rFonts w:ascii="Cambria Math" w:hAnsi="Cambria Math"/>
                  </w:rPr>
                  <m:t>H+s−</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num>
              <m:den>
                <m:r>
                  <m:rPr/>
                  <w:rPr>
                    <w:rFonts w:ascii="Cambria Math" w:hAnsi="Cambria Math"/>
                  </w:rPr>
                  <m:t>s</m:t>
                </m:r>
                <m:ctrlPr>
                  <w:rPr>
                    <w:rFonts w:ascii="Cambria Math" w:hAnsi="Cambria Math"/>
                  </w:rPr>
                </m:ctrlPr>
              </m:den>
            </m:f>
            <m:ctrlPr>
              <w:rPr>
                <w:rFonts w:ascii="Cambria Math" w:hAnsi="Cambria Math"/>
              </w:rPr>
            </m:ctrlPr>
          </m:e>
        </m:d>
        <m:r>
          <m:rPr/>
          <w:rPr>
            <w:rFonts w:ascii="Cambria Math" w:hAnsi="Cambria Math"/>
          </w:rPr>
          <m:t>+1</m:t>
        </m:r>
      </m:oMath>
      <w:r>
        <w:rPr>
          <w:rFonts w:ascii="Times New Roman" w:hAnsi="Times New Roman"/>
        </w:rPr>
        <w:t>（16）</w:t>
      </w:r>
    </w:p>
    <w:p w14:paraId="43503A67">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表示每条潜在变量轨迹提取的局部片段数量；</w:t>
      </w:r>
      <m:oMath>
        <m:r>
          <m:rPr/>
          <w:rPr>
            <w:rFonts w:ascii="Cambria Math" w:hAnsi="Cambria Math"/>
          </w:rPr>
          <m:t>H</m:t>
        </m:r>
      </m:oMath>
      <w:r>
        <w:rPr>
          <w:rFonts w:ascii="Times New Roman" w:hAnsi="Times New Roman"/>
        </w:rPr>
        <w:t>表示早期循环长度；</w:t>
      </w:r>
      <m:oMath>
        <m:r>
          <m:rPr/>
          <w:rPr>
            <w:rFonts w:ascii="Cambria Math" w:hAnsi="Cambria Math"/>
          </w:rPr>
          <m:t>s</m:t>
        </m:r>
      </m:oMath>
      <w:r>
        <w:rPr>
          <w:rFonts w:ascii="Times New Roman" w:hAnsi="Times New Roman"/>
        </w:rPr>
        <w:t>表示滑动步长；</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表示片段长度；</w:t>
      </w:r>
      <m:oMath>
        <m:r>
          <m:rPr/>
          <w:rPr>
            <w:rFonts w:ascii="Cambria Math" w:hAnsi="Cambria Math"/>
          </w:rPr>
          <m:t>H+s</m:t>
        </m:r>
      </m:oMath>
      <w:r>
        <w:rPr>
          <w:rFonts w:ascii="Times New Roman" w:hAnsi="Times New Roman"/>
        </w:rPr>
        <w:t>表示补齐后的轨迹长度；参数应设置为使片段起点覆盖补齐轨迹的有效范围。</w:t>
      </w:r>
    </w:p>
    <w:p w14:paraId="77DD4C58">
      <w:pPr>
        <w:ind w:firstLine="440"/>
        <w:rPr>
          <w:rFonts w:ascii="Times New Roman" w:hAnsi="Times New Roman"/>
        </w:rPr>
      </w:pPr>
      <w:r>
        <w:rPr>
          <w:rFonts w:ascii="Times New Roman" w:hAnsi="Times New Roman"/>
        </w:rPr>
        <w:t>沿循环轴按步长提取第</w:t>
      </w:r>
      <m:oMath>
        <m:r>
          <m:rPr/>
          <w:rPr>
            <w:rFonts w:ascii="Cambria Math" w:hAnsi="Cambria Math"/>
          </w:rPr>
          <m:t>p</m:t>
        </m:r>
      </m:oMath>
      <w:r>
        <w:rPr>
          <w:rFonts w:ascii="Times New Roman" w:hAnsi="Times New Roman"/>
        </w:rPr>
        <w:t>个局部片段的第</w:t>
      </w:r>
      <m:oMath>
        <m:r>
          <m:rPr/>
          <w:rPr>
            <w:rFonts w:ascii="Cambria Math" w:hAnsi="Cambria Math"/>
          </w:rPr>
          <m:t>l</m:t>
        </m:r>
      </m:oMath>
      <w:r>
        <w:rPr>
          <w:rFonts w:ascii="Times New Roman" w:hAnsi="Times New Roman"/>
        </w:rPr>
        <w:t>个位置，局部片段张量定义如公式（17）所示：</w:t>
      </w:r>
    </w:p>
    <w:p w14:paraId="1D5E73F0">
      <w:pPr>
        <w:jc w:val="center"/>
        <w:rPr>
          <w:rFonts w:ascii="Times New Roman" w:hAnsi="Times New Roman"/>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b,v,p,l</m:t>
            </m:r>
            <m:ctrlPr>
              <w:rPr>
                <w:rFonts w:ascii="Cambria Math" w:hAnsi="Cambria Math"/>
              </w:rPr>
            </m:ctrlPr>
          </m:sub>
        </m:sSub>
        <m:r>
          <m:rPr/>
          <w:rPr>
            <w:rFonts w:ascii="Cambria Math" w:hAnsi="Cambria Math"/>
          </w:rPr>
          <m:t>=</m:t>
        </m:r>
        <m:sSub>
          <m:sSubPr>
            <m:ctrlPr>
              <w:rPr>
                <w:rFonts w:ascii="Cambria Math" w:hAnsi="Cambria Math"/>
              </w:rPr>
            </m:ctrlPr>
          </m:sSubPr>
          <m:e>
            <m:bar>
              <m:barPr>
                <m:pos m:val="top"/>
                <m:ctrlPr>
                  <w:rPr>
                    <w:rFonts w:ascii="Cambria Math" w:hAnsi="Cambria Math"/>
                  </w:rPr>
                </m:ctrlPr>
              </m:barPr>
              <m:e>
                <m:r>
                  <m:rPr/>
                  <w:rPr>
                    <w:rFonts w:ascii="Cambria Math" w:hAnsi="Cambria Math"/>
                  </w:rPr>
                  <m:t>U</m:t>
                </m:r>
                <m:ctrlPr>
                  <w:rPr>
                    <w:rFonts w:ascii="Cambria Math" w:hAnsi="Cambria Math"/>
                  </w:rPr>
                </m:ctrlPr>
              </m:e>
            </m:bar>
            <m:ctrlPr>
              <w:rPr>
                <w:rFonts w:ascii="Cambria Math" w:hAnsi="Cambria Math"/>
              </w:rPr>
            </m:ctrlPr>
          </m:e>
          <m:sub>
            <m:r>
              <m:rPr/>
              <w:rPr>
                <w:rFonts w:ascii="Cambria Math" w:hAnsi="Cambria Math"/>
              </w:rPr>
              <m:t>b,v,ps+l</m:t>
            </m:r>
            <m:ctrlPr>
              <w:rPr>
                <w:rFonts w:ascii="Cambria Math" w:hAnsi="Cambria Math"/>
              </w:rPr>
            </m:ctrlPr>
          </m:sub>
        </m:sSub>
        <m:r>
          <m:rPr/>
          <w:rPr>
            <w:rFonts w:ascii="Cambria Math" w:hAnsi="Cambria Math"/>
          </w:rPr>
          <m:t>,p=0,…,</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−1,l=0,…,</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−1</m:t>
        </m:r>
      </m:oMath>
      <w:r>
        <w:rPr>
          <w:rFonts w:ascii="Times New Roman" w:hAnsi="Times New Roman"/>
        </w:rPr>
        <w:t>（17）</w:t>
      </w:r>
    </w:p>
    <w:p w14:paraId="4A040246">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b,v,p,l</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个潜在变量的第</w:t>
      </w:r>
      <m:oMath>
        <m:r>
          <m:rPr/>
          <w:rPr>
            <w:rFonts w:ascii="Cambria Math" w:hAnsi="Cambria Math"/>
          </w:rPr>
          <m:t>p</m:t>
        </m:r>
      </m:oMath>
      <w:r>
        <w:rPr>
          <w:rFonts w:ascii="Times New Roman" w:hAnsi="Times New Roman"/>
        </w:rPr>
        <w:t>个片段中第</w:t>
      </w:r>
      <m:oMath>
        <m:r>
          <m:rPr/>
          <w:rPr>
            <w:rFonts w:ascii="Cambria Math" w:hAnsi="Cambria Math"/>
          </w:rPr>
          <m:t>l</m:t>
        </m:r>
      </m:oMath>
      <w:r>
        <w:rPr>
          <w:rFonts w:ascii="Times New Roman" w:hAnsi="Times New Roman"/>
        </w:rPr>
        <w:t>个位置的值；</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rPr>
          <w:rFonts w:ascii="Times New Roman" w:hAnsi="Times New Roman"/>
        </w:rPr>
        <w:t>表示补齐后的轨迹；</w:t>
      </w:r>
      <m:oMath>
        <m:r>
          <m:rPr/>
          <w:rPr>
            <w:rFonts w:ascii="Cambria Math" w:hAnsi="Cambria Math"/>
          </w:rPr>
          <m:t>p</m:t>
        </m:r>
      </m:oMath>
      <w:r>
        <w:rPr>
          <w:rFonts w:ascii="Times New Roman" w:hAnsi="Times New Roman"/>
        </w:rPr>
        <w:t>为片段索引，取</w:t>
      </w:r>
      <m:oMath>
        <m:r>
          <m:rPr/>
          <w:rPr>
            <w:rFonts w:ascii="Cambria Math" w:hAnsi="Cambria Math"/>
          </w:rPr>
          <m:t>0</m:t>
        </m:r>
      </m:oMath>
      <w:r>
        <w:rPr>
          <w:rFonts w:ascii="Times New Roman" w:hAnsi="Times New Roman"/>
        </w:rPr>
        <w:t>至</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rPr>
          <w:rFonts w:ascii="Times New Roman" w:hAnsi="Times New Roman"/>
        </w:rPr>
        <w:t>；</w:t>
      </w:r>
      <m:oMath>
        <m:r>
          <m:rPr/>
          <w:rPr>
            <w:rFonts w:ascii="Cambria Math" w:hAnsi="Cambria Math"/>
          </w:rPr>
          <m:t>l</m:t>
        </m:r>
      </m:oMath>
      <w:r>
        <w:rPr>
          <w:rFonts w:ascii="Times New Roman" w:hAnsi="Times New Roman"/>
        </w:rPr>
        <w:t>为片段内位置索引，取</w:t>
      </w:r>
      <m:oMath>
        <m:r>
          <m:rPr/>
          <w:rPr>
            <w:rFonts w:ascii="Cambria Math" w:hAnsi="Cambria Math"/>
          </w:rPr>
          <m:t>0</m:t>
        </m:r>
      </m:oMath>
      <w:r>
        <w:rPr>
          <w:rFonts w:ascii="Times New Roman" w:hAnsi="Times New Roman"/>
        </w:rPr>
        <w:t>至</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rPr>
          <w:rFonts w:ascii="Times New Roman" w:hAnsi="Times New Roman"/>
        </w:rPr>
        <w:t>；</w:t>
      </w:r>
      <m:oMath>
        <m:r>
          <m:rPr/>
          <w:rPr>
            <w:rFonts w:ascii="Cambria Math" w:hAnsi="Cambria Math"/>
          </w:rPr>
          <m:t>s</m:t>
        </m:r>
      </m:oMath>
      <w:r>
        <w:rPr>
          <w:rFonts w:ascii="Times New Roman" w:hAnsi="Times New Roman"/>
        </w:rPr>
        <w:t>为片段起点之间的步长。</w:t>
      </w:r>
    </w:p>
    <w:p w14:paraId="4B927569">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为片段数量，</w:t>
      </w:r>
      <m:oMath>
        <m:r>
          <m:rPr/>
          <w:rPr>
            <w:rFonts w:ascii="Cambria Math" w:hAnsi="Cambria Math"/>
          </w:rPr>
          <m:t>p</m:t>
        </m:r>
      </m:oMath>
      <w:r>
        <w:rPr>
          <w:rFonts w:ascii="Times New Roman" w:hAnsi="Times New Roman"/>
        </w:rPr>
        <w:t>为片段索引，l为片段内位置索引。为处理末端不足一个完整片段的情况，定义带横线的</w:t>
      </w:r>
      <m:oMath>
        <m:r>
          <m:rPr/>
          <w:rPr>
            <w:rFonts w:ascii="Cambria Math" w:hAnsi="Cambria Math"/>
          </w:rPr>
          <m:t>U</m:t>
        </m:r>
      </m:oMath>
      <w:r>
        <w:rPr>
          <w:rFonts w:ascii="Times New Roman" w:hAnsi="Times New Roman"/>
        </w:rPr>
        <w:t>在</w:t>
      </w:r>
      <m:oMath>
        <m:r>
          <m:rPr/>
          <w:rPr>
            <w:rFonts w:ascii="Cambria Math" w:hAnsi="Cambria Math"/>
          </w:rPr>
          <m:t>t≥H</m:t>
        </m:r>
      </m:oMath>
      <w:r>
        <w:rPr>
          <w:rFonts w:ascii="Times New Roman" w:hAnsi="Times New Roman"/>
        </w:rPr>
        <w:t>时复制最后一个观测循环，即使用</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b,v,H−1</m:t>
            </m:r>
            <m:ctrlPr>
              <w:rPr>
                <w:rFonts w:ascii="Cambria Math" w:hAnsi="Cambria Math"/>
              </w:rPr>
            </m:ctrlPr>
          </m:sub>
        </m:sSub>
      </m:oMath>
      <w:r>
        <w:rPr>
          <w:rFonts w:ascii="Times New Roman" w:hAnsi="Times New Roman"/>
        </w:rPr>
        <w:t>补齐到长度</w:t>
      </w:r>
      <m:oMath>
        <m:r>
          <m:rPr/>
          <w:rPr>
            <w:rFonts w:ascii="Cambria Math" w:hAnsi="Cambria Math"/>
          </w:rPr>
          <m:t>H+s</m:t>
        </m:r>
      </m:oMath>
      <w:r>
        <w:rPr>
          <w:rFonts w:ascii="Times New Roman" w:hAnsi="Times New Roman"/>
        </w:rPr>
        <w:t>；该补齐仅用于形成固定张量形状，不改变已有观测值。式中片段起点为</w:t>
      </w:r>
      <m:oMath>
        <m:r>
          <m:rPr/>
          <w:rPr>
            <w:rFonts w:ascii="Cambria Math" w:hAnsi="Cambria Math"/>
          </w:rPr>
          <m:t>ps</m:t>
        </m:r>
      </m:oMath>
      <w:r>
        <w:rPr>
          <w:rFonts w:ascii="Times New Roman" w:hAnsi="Times New Roman"/>
        </w:rPr>
        <w:t>，片段内第l个位置对应</w:t>
      </w:r>
      <m:oMath>
        <m:r>
          <m:rPr/>
          <w:rPr>
            <w:rFonts w:ascii="Cambria Math" w:hAnsi="Cambria Math"/>
          </w:rPr>
          <m:t>ps+l</m:t>
        </m:r>
      </m:oMath>
      <w:r>
        <w:rPr>
          <w:rFonts w:ascii="Times New Roman" w:hAnsi="Times New Roman"/>
        </w:rPr>
        <w:t>，因此末端补齐长度至少应覆盖最后一个片段所需的索引。为避免零基和一基索引混用，片段提取公式中的</w:t>
      </w:r>
      <m:oMath>
        <m:r>
          <m:rPr/>
          <w:rPr>
            <w:rFonts w:ascii="Cambria Math" w:hAnsi="Cambria Math"/>
          </w:rPr>
          <m:t>p</m:t>
        </m:r>
      </m:oMath>
      <w:r>
        <w:rPr>
          <w:rFonts w:ascii="Times New Roman" w:hAnsi="Times New Roman"/>
        </w:rPr>
        <w:t>、</w:t>
      </w:r>
      <m:oMath>
        <m:r>
          <m:rPr/>
          <w:rPr>
            <w:rFonts w:ascii="Cambria Math" w:hAnsi="Cambria Math"/>
          </w:rPr>
          <m:t>l</m:t>
        </m:r>
      </m:oMath>
      <w:r>
        <w:rPr>
          <w:rFonts w:ascii="Times New Roman" w:hAnsi="Times New Roman"/>
        </w:rPr>
        <w:t>和</w:t>
      </w:r>
      <m:oMath>
        <m:r>
          <m:rPr/>
          <w:rPr>
            <w:rFonts w:ascii="Cambria Math" w:hAnsi="Cambria Math"/>
          </w:rPr>
          <m:t>t</m:t>
        </m:r>
      </m:oMath>
      <w:r>
        <w:rPr>
          <w:rFonts w:ascii="Times New Roman" w:hAnsi="Times New Roman"/>
        </w:rPr>
        <w:t>均按零基索引表示。</w:t>
      </w:r>
    </w:p>
    <w:p w14:paraId="4CAF11F7">
      <w:pPr>
        <w:pStyle w:val="5"/>
        <w:rPr>
          <w:rFonts w:ascii="Times New Roman" w:hAnsi="Times New Roman"/>
        </w:rPr>
      </w:pPr>
      <w:r>
        <w:rPr>
          <w:rFonts w:ascii="Times New Roman" w:hAnsi="Times New Roman"/>
        </w:rPr>
        <w:t>7.2片段嵌入和位置编码</w:t>
      </w:r>
    </w:p>
    <w:p w14:paraId="7350FBE1">
      <w:pPr>
        <w:ind w:firstLine="440"/>
        <w:rPr>
          <w:rFonts w:ascii="Times New Roman" w:hAnsi="Times New Roman"/>
        </w:rPr>
      </w:pPr>
      <w:r>
        <w:rPr>
          <w:rFonts w:ascii="Times New Roman" w:hAnsi="Times New Roman"/>
        </w:rPr>
        <w:t>每个片段通过共享线性映射转换为</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维向量，并叠加与片段位置对应的可学习位置参数，使编码器能够区分窗口前部、中部和末端的片段。位置参数的长度与片段数量一致，并随模型参数一并训练。</w:t>
      </w:r>
    </w:p>
    <w:p w14:paraId="596EFEFB">
      <w:pPr>
        <w:ind w:firstLine="440"/>
        <w:rPr>
          <w:rFonts w:ascii="Times New Roman" w:hAnsi="Times New Roman"/>
        </w:rPr>
      </w:pPr>
      <w:r>
        <w:rPr>
          <w:rFonts w:ascii="Times New Roman" w:hAnsi="Times New Roman"/>
        </w:rPr>
        <w:t>对每个局部片段施加共享线性映射并叠加片段位置编码，得到片段嵌入，嵌入结果定义如公式（18）所示：</w:t>
      </w:r>
    </w:p>
    <w:p w14:paraId="04DBEE10">
      <w:pPr>
        <w:jc w:val="center"/>
        <w:rPr>
          <w:rFonts w:ascii="Times New Roman" w:hAnsi="Times New Roman"/>
        </w:rPr>
      </w:pP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b,v,p,: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b,v,p,:</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E</m:t>
            </m:r>
            <m:ctrlPr>
              <w:rPr>
                <w:rFonts w:ascii="Cambria Math" w:hAnsi="Cambria Math"/>
              </w:rPr>
            </m:ctrlPr>
          </m:e>
          <m:sub>
            <m:r>
              <m:rPr/>
              <w:rPr>
                <w:rFonts w:ascii="Cambria Math" w:hAnsi="Cambria Math"/>
              </w:rPr>
              <m:t>p</m:t>
            </m:r>
            <m:ctrlPr>
              <w:rPr>
                <w:rFonts w:ascii="Cambria Math" w:hAnsi="Cambria Math"/>
              </w:rPr>
            </m:ctrlPr>
          </m:sub>
          <m:sup>
            <m:r>
              <m:rPr/>
              <w:rPr>
                <w:rFonts w:ascii="Cambria Math" w:hAnsi="Cambria Math"/>
              </w:rPr>
              <m:t>pos</m:t>
            </m:r>
            <m:ctrlPr>
              <w:rPr>
                <w:rFonts w:ascii="Cambria Math" w:hAnsi="Cambria Math"/>
              </w:rPr>
            </m:ctrlPr>
          </m:sup>
        </m:sSubSup>
        <m:r>
          <m:rPr/>
          <w:rPr>
            <w:rFonts w:ascii="Cambria Math" w:hAnsi="Cambria Math"/>
          </w:rPr>
          <m:t>,:</m:t>
        </m:r>
      </m:oMath>
      <w:r>
        <w:rPr>
          <w:rFonts w:ascii="Times New Roman" w:hAnsi="Times New Roman"/>
        </w:rPr>
        <w:t>（18）</w:t>
      </w:r>
    </w:p>
    <w:p w14:paraId="37310108">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b,v,p,:</m:t>
            </m:r>
            <m:ctrlPr>
              <w:rPr>
                <w:rFonts w:ascii="Cambria Math" w:hAnsi="Cambria Math"/>
                <w:i/>
              </w:rPr>
            </m:ctrlPr>
          </m:sub>
        </m:sSub>
      </m:oMath>
      <w:r>
        <w:rPr>
          <w:rFonts w:ascii="Times New Roman" w:hAnsi="Times New Roman"/>
        </w:rPr>
        <w:t>表示片段嵌入向量；</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b,v,p,:</m:t>
            </m:r>
            <m:ctrlPr>
              <w:rPr>
                <w:rFonts w:ascii="Cambria Math" w:hAnsi="Cambria Math"/>
                <w:i/>
              </w:rPr>
            </m:ctrlPr>
          </m:sub>
        </m:sSub>
      </m:oMath>
      <w:r>
        <w:rPr>
          <w:rFonts w:ascii="Times New Roman" w:hAnsi="Times New Roman"/>
        </w:rPr>
        <w:t>表示对应片段的</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维向量；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表示共享片段投影矩阵；</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表示投影偏置；</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p,pos,:</m:t>
            </m:r>
            <m:ctrlPr>
              <w:rPr>
                <w:rFonts w:ascii="Cambria Math" w:hAnsi="Cambria Math"/>
                <w:i/>
              </w:rPr>
            </m:ctrlPr>
          </m:sub>
        </m:sSub>
      </m:oMath>
      <w:r>
        <w:rPr>
          <w:rFonts w:ascii="Times New Roman" w:hAnsi="Times New Roman"/>
        </w:rPr>
        <w:t>表示第</w:t>
      </w:r>
      <m:oMath>
        <m:r>
          <m:rPr/>
          <w:rPr>
            <w:rFonts w:ascii="Cambria Math" w:hAnsi="Cambria Math"/>
          </w:rPr>
          <m:t>p</m:t>
        </m:r>
      </m:oMath>
      <w:r>
        <w:rPr>
          <w:rFonts w:ascii="Times New Roman" w:hAnsi="Times New Roman"/>
        </w:rPr>
        <w:t>个片段的位置编码；</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表示片段嵌入维度。</w:t>
      </w:r>
    </w:p>
    <w:p w14:paraId="04489117">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patch</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w:t>
      </w:r>
      <m:oMath>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pos</m:t>
            </m:r>
            <m:ctrlPr>
              <w:rPr>
                <w:rFonts w:ascii="Cambria Math" w:hAnsi="Cambria Math"/>
              </w:rPr>
            </m:ctrlPr>
          </m:sup>
        </m:sSup>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；当片段数量随窗口设置改变时，对应调整位置参数的长度或采用可插值的位置编码。</w:t>
      </w:r>
    </w:p>
    <w:p w14:paraId="6EF2D873">
      <w:pPr>
        <w:pStyle w:val="5"/>
        <w:rPr>
          <w:rFonts w:ascii="Times New Roman" w:hAnsi="Times New Roman"/>
        </w:rPr>
      </w:pPr>
      <w:r>
        <w:rPr>
          <w:rFonts w:ascii="Times New Roman" w:hAnsi="Times New Roman"/>
        </w:rPr>
        <w:t>7.3片段变换器编码</w:t>
      </w:r>
    </w:p>
    <w:p w14:paraId="75669D59">
      <w:pPr>
        <w:ind w:firstLine="440"/>
        <w:rPr>
          <w:rFonts w:ascii="Times New Roman" w:hAnsi="Times New Roman"/>
        </w:rPr>
      </w:pPr>
      <w:r>
        <w:rPr>
          <w:rFonts w:ascii="Times New Roman" w:hAnsi="Times New Roman"/>
        </w:rPr>
        <w:t>对每一个样本-潜在变量对的</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oMath>
      <w:r>
        <w:rPr>
          <w:rFonts w:ascii="Times New Roman" w:hAnsi="Times New Roman"/>
        </w:rPr>
        <w:t>个片段执行多头自注意力和前馈变换。注意力在片段维计算，使同一潜在变量的局部片段可以相互比较，同时不在该阶段混合不同潜在变量。</w:t>
      </w:r>
    </w:p>
    <w:p w14:paraId="6217AC72">
      <w:pPr>
        <w:ind w:firstLine="440"/>
        <w:rPr>
          <w:rFonts w:ascii="Times New Roman" w:hAnsi="Times New Roman"/>
        </w:rPr>
      </w:pPr>
      <w:r>
        <w:rPr>
          <w:rFonts w:ascii="Times New Roman" w:hAnsi="Times New Roman"/>
        </w:rPr>
        <w:t>在同一潜在变量的片段序列上执行片段级变换器编码，以获得包含片段间依赖的表示，编码结果定义如公式（19）所示：</w:t>
      </w:r>
    </w:p>
    <w:p w14:paraId="7CAF5CFC">
      <w:pPr>
        <w:jc w:val="center"/>
        <w:rPr>
          <w:rFonts w:ascii="Times New Roman" w:hAnsi="Times New Roman"/>
        </w:rPr>
      </w:pP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patch</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Encoder</m:t>
            </m:r>
            <m:ctrlPr>
              <w:rPr>
                <w:rFonts w:ascii="Cambria Math" w:hAnsi="Cambria Math"/>
              </w:rPr>
            </m:ctrlPr>
          </m:e>
          <m:sub>
            <m:r>
              <m:rPr/>
              <w:rPr>
                <w:rFonts w:ascii="Cambria Math" w:hAnsi="Cambria Math"/>
              </w:rPr>
              <m:t>patch</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p</m:t>
                </m:r>
                <m:ctrlPr>
                  <w:rPr>
                    <w:rFonts w:ascii="Cambria Math" w:hAnsi="Cambria Math"/>
                  </w:rPr>
                </m:ctrlPr>
              </m:sub>
            </m:sSub>
            <m:ctrlPr>
              <w:rPr>
                <w:rFonts w:ascii="Cambria Math" w:hAnsi="Cambria Math"/>
              </w:rPr>
            </m:ctrlPr>
          </m:sup>
        </m:sSup>
      </m:oMath>
      <w:r>
        <w:rPr>
          <w:rFonts w:ascii="Times New Roman" w:hAnsi="Times New Roman"/>
        </w:rPr>
        <w:t>（19）</w:t>
      </w:r>
    </w:p>
    <w:p w14:paraId="3E3576CA">
      <w:pPr>
        <w:ind w:firstLine="440"/>
        <w:rPr>
          <w:rFonts w:ascii="Times New Roman" w:hAnsi="Times New Roman"/>
        </w:rPr>
      </w:pPr>
      <w:commentRangeStart w:id="4"/>
      <w:r>
        <w:rPr>
          <w:rFonts w:ascii="Times New Roman" w:hAnsi="Times New Roman"/>
        </w:rPr>
        <w:t>其中，</w:t>
      </w: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patch</m:t>
            </m:r>
            <m:ctrlPr>
              <w:rPr>
                <w:rFonts w:ascii="Cambria Math" w:hAnsi="Cambria Math"/>
              </w:rPr>
            </m:ctrlPr>
          </m:sup>
        </m:sSubSup>
      </m:oMath>
      <w:r>
        <w:rPr>
          <w:rFonts w:ascii="Times New Roman" w:hAnsi="Times New Roman"/>
        </w:rPr>
        <w:t>表示片段变换器输出的片段编码矩阵，维度为</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ascii="Times New Roman" w:hAnsi="Times New Roman"/>
        </w:rPr>
        <w:t>；</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表示片段嵌入矩阵；</w:t>
      </w:r>
      <m:oMath>
        <m:r>
          <m:rPr/>
          <w:rPr>
            <w:rFonts w:ascii="Cambria Math" w:hAnsi="Cambria Math"/>
          </w:rPr>
          <m:t>Encode</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patch</m:t>
            </m:r>
            <m:ctrlPr>
              <w:rPr>
                <w:rFonts w:ascii="Cambria Math" w:hAnsi="Cambria Math"/>
                <w:i/>
              </w:rPr>
            </m:ctrlPr>
          </m:sub>
        </m:sSub>
      </m:oMath>
      <w:r>
        <w:rPr>
          <w:rFonts w:ascii="Times New Roman" w:hAnsi="Times New Roman"/>
        </w:rPr>
        <w:t>表示沿片段维执行自注意力和前馈变换的编码器；不同潜在变量之间在本阶段保持独立。</w:t>
      </w:r>
      <w:commentRangeEnd w:id="4"/>
      <w:r>
        <w:commentReference w:id="4"/>
      </w:r>
    </w:p>
    <w:p w14:paraId="469D5BF8">
      <w:pPr>
        <w:pStyle w:val="5"/>
        <w:rPr>
          <w:rFonts w:hint="eastAsia" w:ascii="Times New Roman" w:hAnsi="Times New Roman"/>
        </w:rPr>
      </w:pPr>
      <w:r>
        <w:rPr>
          <w:rFonts w:ascii="Times New Roman" w:hAnsi="Times New Roman"/>
        </w:rPr>
        <w:t>7.4片段级自适应评分和聚合</w:t>
      </w:r>
    </w:p>
    <w:p w14:paraId="695B8595">
      <w:pPr>
        <w:ind w:firstLine="440"/>
        <w:rPr>
          <w:rFonts w:hint="eastAsia" w:ascii="Times New Roman" w:hAnsi="Times New Roman"/>
        </w:rPr>
      </w:pPr>
      <w:r>
        <w:rPr>
          <w:rFonts w:hint="eastAsia" w:ascii="Times New Roman" w:hAnsi="Times New Roman"/>
        </w:rPr>
        <w:t>经过片段变换器编码后，对于第</w:t>
      </w:r>
      <m:oMath>
        <m:r>
          <m:rPr/>
          <w:rPr>
            <w:rFonts w:hint="eastAsia" w:ascii="Cambria Math" w:hAnsi="Cambria Math"/>
          </w:rPr>
          <m:t>b</m:t>
        </m:r>
      </m:oMath>
      <w:r>
        <w:rPr>
          <w:rFonts w:hint="eastAsia" w:ascii="Times New Roman" w:hAnsi="Times New Roman"/>
        </w:rPr>
        <w:t>个样本的第</w:t>
      </w:r>
      <m:oMath>
        <m:r>
          <m:rPr/>
          <w:rPr>
            <w:rFonts w:hint="eastAsia" w:ascii="Cambria Math" w:hAnsi="Cambria Math"/>
          </w:rPr>
          <m:t>v</m:t>
        </m:r>
      </m:oMath>
      <w:r>
        <w:rPr>
          <w:rFonts w:hint="eastAsia" w:ascii="Times New Roman" w:hAnsi="Times New Roman"/>
        </w:rPr>
        <w:t>个潜在变量，得到</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个局部片段编码结果。为使模型能够根据不同样本及其退化阶段自动判断各局部片段对RUL预测的贡献程度，首先对每个片段编码结果计算片段评分，片段评分定义如公式（20）所示：</w:t>
      </w:r>
    </w:p>
    <w:p w14:paraId="05319732">
      <w:pPr>
        <w:ind w:firstLine="440"/>
        <w:rPr>
          <w:rFonts w:hint="eastAsia" w:ascii="Times New Roman" w:hAnsi="Times New Roman"/>
        </w:rPr>
      </w:pP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b,v,p</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up>
            <m:r>
              <m:rPr>
                <m:nor/>
                <m:sty m:val="p"/>
              </m:rPr>
              <w:rPr>
                <w:rFonts w:ascii="Cambria Math" w:hAnsi="Cambria Math"/>
                <w:b w:val="0"/>
                <w:i w:val="0"/>
              </w:rPr>
              <m:t>T</m:t>
            </m:r>
            <m:ctrlPr>
              <w:rPr>
                <w:rFonts w:ascii="Cambria Math" w:hAnsi="Cambria Math"/>
                <w:i/>
              </w:rPr>
            </m:ctrlPr>
          </m:sup>
        </m:sSubSup>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rPr>
          <w:rFonts w:hint="eastAsia" w:ascii="Times New Roman" w:hAnsi="Times New Roman"/>
        </w:rPr>
        <w:t xml:space="preserve"> (20)</w:t>
      </w:r>
    </w:p>
    <w:p w14:paraId="5D9B1740">
      <w:pPr>
        <w:ind w:firstLine="440"/>
      </w:pPr>
      <w:r>
        <w:t>其中，</w:t>
      </w:r>
      <m:oMath>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b,v,p</m:t>
            </m:r>
            <m:ctrlPr>
              <w:rPr>
                <w:rFonts w:ascii="Cambria Math" w:hAnsi="Cambria Math"/>
                <w:i/>
              </w:rPr>
            </m:ctrlPr>
          </m:sub>
        </m:sSub>
      </m:oMath>
      <w:r>
        <w:t>表示第</w:t>
      </w:r>
      <m:oMath>
        <m:r>
          <m:rPr/>
          <w:rPr>
            <w:rFonts w:ascii="Cambria Math" w:hAnsi="Cambria Math"/>
          </w:rPr>
          <m:t>b</m:t>
        </m:r>
      </m:oMath>
      <w:r>
        <w:t>个样本、第</w:t>
      </w:r>
      <m:oMath>
        <m:r>
          <m:rPr/>
          <w:rPr>
            <w:rFonts w:ascii="Cambria Math" w:hAnsi="Cambria Math"/>
          </w:rPr>
          <m:t>v</m:t>
        </m:r>
      </m:oMath>
      <w:r>
        <w:t>个潜在变量的第</w:t>
      </w:r>
      <m:oMath>
        <m:r>
          <m:rPr/>
          <w:rPr>
            <w:rFonts w:ascii="Cambria Math" w:hAnsi="Cambria Math"/>
          </w:rPr>
          <m:t>p</m:t>
        </m:r>
      </m:oMath>
      <w:r>
        <w:t>个局部片段的评分；</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t>表示片段评分权重向量，其维度与</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rPr>
          <w:rStyle w:val="18"/>
          <w:i w:val="0"/>
          <w:iCs w:val="0"/>
        </w:rPr>
        <w:t>的特征维度一致；</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t>表示第</w:t>
      </w:r>
      <m:oMath>
        <m:r>
          <m:rPr/>
          <w:rPr>
            <w:rFonts w:ascii="Cambria Math" w:hAnsi="Cambria Math"/>
          </w:rPr>
          <m:t>b</m:t>
        </m:r>
      </m:oMath>
      <w:r>
        <w:t>个样本、第</w:t>
      </w:r>
      <m:oMath>
        <m:r>
          <m:rPr/>
          <w:rPr>
            <w:rFonts w:ascii="Cambria Math" w:hAnsi="Cambria Math"/>
          </w:rPr>
          <m:t>v</m:t>
        </m:r>
      </m:oMath>
      <w:r>
        <w:t>个潜在变量的第</w:t>
      </w:r>
      <m:oMath>
        <m:r>
          <m:rPr/>
          <w:rPr>
            <w:rFonts w:ascii="Cambria Math" w:hAnsi="Cambria Math"/>
          </w:rPr>
          <m:t>p</m:t>
        </m:r>
      </m:oMath>
      <w:r>
        <w:t>个局部片段经过片段变换器编码后得到的特征向量；</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t>表示片段评分偏置；</w:t>
      </w:r>
      <m:oMath>
        <m:r>
          <m:rPr/>
          <w:rPr>
            <w:rFonts w:ascii="Cambria Math" w:hAnsi="Cambria Math"/>
          </w:rPr>
          <m:t>b</m:t>
        </m:r>
      </m:oMath>
      <w:r>
        <w:t>表示样本索引，取值范围为</w:t>
      </w:r>
      <m:oMath>
        <m:r>
          <m:rPr/>
          <w:rPr>
            <w:rFonts w:ascii="Cambria Math" w:hAnsi="Cambria Math"/>
          </w:rPr>
          <m:t>1,2,…,B</m:t>
        </m:r>
      </m:oMath>
      <w:r>
        <w:rPr>
          <w:rFonts w:hint="eastAsia"/>
        </w:rPr>
        <w:t>；</w:t>
      </w:r>
      <m:oMath>
        <m:r>
          <m:rPr/>
          <w:rPr>
            <w:rFonts w:hint="eastAsia" w:ascii="Cambria Math" w:hAnsi="Cambria Math"/>
          </w:rPr>
          <m:t>v</m:t>
        </m:r>
      </m:oMath>
      <w:r>
        <w:t>表示潜在变量索引，取值范围为</w:t>
      </w:r>
      <m:oMath>
        <m:r>
          <m:rPr/>
          <w:rPr>
            <w:rFonts w:ascii="Cambria Math" w:hAnsi="Cambria Math"/>
          </w:rPr>
          <m:t>1,2,…,V</m:t>
        </m:r>
      </m:oMath>
      <w:r>
        <w:rPr>
          <w:rFonts w:hint="eastAsia"/>
        </w:rPr>
        <w:t>；</w:t>
      </w:r>
      <m:oMath>
        <m:r>
          <m:rPr/>
          <w:rPr>
            <w:rFonts w:hint="eastAsia" w:ascii="Cambria Math" w:hAnsi="Cambria Math"/>
          </w:rPr>
          <m:t>p</m:t>
        </m:r>
      </m:oMath>
      <w:r>
        <w:t>表示局部片段索引，取值范围为</w:t>
      </w:r>
      <m:oMath>
        <m:r>
          <m:rPr/>
          <w:rPr>
            <w:rFonts w:ascii="Cambria Math" w:hAnsi="Cambria Math"/>
          </w:rPr>
          <m:t>0,1,…,</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oMath>
      <w:r>
        <w:t>。</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ps</m:t>
            </m:r>
            <m:ctrlPr>
              <w:rPr>
                <w:rFonts w:ascii="Cambria Math" w:hAnsi="Cambria Math"/>
                <w:i/>
              </w:rPr>
            </m:ctrlPr>
          </m:sub>
        </m:sSub>
      </m:oMath>
      <w:r>
        <w:t>为可训练参数，并通过训练过程进行更新。</w:t>
      </w:r>
    </w:p>
    <w:p w14:paraId="3951DCD2">
      <w:pPr>
        <w:ind w:firstLine="440"/>
        <w:rPr>
          <w:rFonts w:hint="eastAsia" w:ascii="Times New Roman" w:hAnsi="Times New Roman"/>
        </w:rPr>
      </w:pPr>
      <w:r>
        <w:rPr>
          <w:rFonts w:hint="eastAsia" w:ascii="Times New Roman" w:hAnsi="Times New Roman"/>
        </w:rPr>
        <w:t>为了将不同局部片段的评分转换为可比较的相对贡献程度，在同一个样本的同一个潜在变量范围内，对全部局部片段的评分执行Softmax归一化，得到片段权重。片段权重及其归一化约束定义如公式（21）所示：</w:t>
      </w:r>
    </w:p>
    <w:p w14:paraId="14912FD2">
      <w:pPr>
        <w:ind w:firstLine="440"/>
        <w:rPr>
          <w:rFonts w:ascii="Times New Roman" w:hAnsi="Times New Roman"/>
        </w:rPr>
      </w:pPr>
    </w:p>
    <w:p w14:paraId="56AD28CF">
      <w:pPr>
        <w:ind w:firstLine="440"/>
        <w:jc w:val="center"/>
        <w:rPr>
          <w:rFonts w:hint="eastAsia" w:ascii="Times New Roman" w:hAnsi="Times New Roman"/>
        </w:rPr>
      </w:pP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r>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num>
          <m:den>
            <m:nary>
              <m:naryPr>
                <m:chr m:val="∑"/>
                <m:ctrlPr>
                  <w:rPr>
                    <w:rFonts w:ascii="Cambria Math" w:hAnsi="Cambria Math"/>
                  </w:rPr>
                </m:ctrlPr>
              </m:naryPr>
              <m:sub>
                <m:r>
                  <m:rPr/>
                  <w:rPr>
                    <w:rFonts w:ascii="Cambria Math" w:hAnsi="Cambria Math"/>
                  </w:rPr>
                  <m:t>k=0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b,v,k</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e>
            </m:nary>
            <m:ctrlPr>
              <w:rPr>
                <w:rFonts w:ascii="Cambria Math" w:hAnsi="Cambria Math"/>
                <w:i/>
              </w:rPr>
            </m:ctrlPr>
          </m:den>
        </m:f>
        <m:r>
          <m:rPr/>
          <w:rPr>
            <w:rFonts w:ascii="Cambria Math" w:hAnsi="Cambria Math"/>
          </w:rPr>
          <m:t>,</m:t>
        </m:r>
        <m:nary>
          <m:naryPr>
            <m:chr m:val="∑"/>
            <m:ctrlPr>
              <w:rPr>
                <w:rFonts w:ascii="Cambria Math" w:hAnsi="Cambria Math"/>
              </w:rPr>
            </m:ctrlPr>
          </m:naryPr>
          <m:sub>
            <m:r>
              <m:rPr/>
              <w:rPr>
                <w:rFonts w:ascii="Cambria Math" w:hAnsi="Cambria Math"/>
              </w:rPr>
              <m:t>p=0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rPr>
            </m:ctrlPr>
          </m:e>
        </m:nary>
        <m:r>
          <m:rPr/>
          <w:rPr>
            <w:rFonts w:ascii="Cambria Math" w:hAnsi="Cambria Math"/>
          </w:rPr>
          <m:t>=1</m:t>
        </m:r>
      </m:oMath>
      <w:r>
        <w:rPr>
          <w:rFonts w:hint="eastAsia" w:ascii="Times New Roman" w:hAnsi="Times New Roman"/>
        </w:rPr>
        <w:t xml:space="preserve">   (21)</w:t>
      </w:r>
    </w:p>
    <w:p w14:paraId="3ACB2E57">
      <w:pPr>
        <w:ind w:firstLine="440"/>
        <w:rPr>
          <w:rFonts w:hint="eastAsia"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个样本、第</w:t>
      </w:r>
      <m:oMath>
        <m:r>
          <m:rPr/>
          <w:rPr>
            <w:rFonts w:hint="eastAsia" w:ascii="Cambria Math" w:hAnsi="Cambria Math"/>
          </w:rPr>
          <m:t>v</m:t>
        </m:r>
      </m:oMath>
      <w:r>
        <w:rPr>
          <w:rFonts w:hint="eastAsia" w:ascii="Times New Roman" w:hAnsi="Times New Roman"/>
        </w:rPr>
        <w:t>个潜在变量的第</w:t>
      </w:r>
      <m:oMath>
        <m:r>
          <m:rPr/>
          <w:rPr>
            <w:rFonts w:hint="eastAsia" w:ascii="Cambria Math" w:hAnsi="Cambria Math"/>
          </w:rPr>
          <m:t>p</m:t>
        </m:r>
      </m:oMath>
      <w:r>
        <w:rPr>
          <w:rFonts w:hint="eastAsia" w:ascii="Times New Roman" w:hAnsi="Times New Roman"/>
        </w:rPr>
        <w:t>个局部片段的自适应权重；</w:t>
      </w:r>
      <m:oMath>
        <m:r>
          <m:rPr/>
          <w:rPr>
            <w:rFonts w:hint="eastAsia" w:ascii="Cambria Math" w:hAnsi="Cambria Math"/>
          </w:rPr>
          <m:t>exp</m:t>
        </m:r>
      </m:oMath>
      <w:r>
        <w:rPr>
          <w:rFonts w:hint="eastAsia" w:ascii="Times New Roman" w:hAnsi="Times New Roman"/>
        </w:rPr>
        <w:t>表示指数函数；</w:t>
      </w:r>
      <m:oMath>
        <m:sSub>
          <m:sSubPr>
            <m:ctrlPr>
              <w:rPr>
                <w:rFonts w:ascii="Cambria Math" w:hAnsi="Cambria Math"/>
                <w:i/>
              </w:rPr>
            </m:ctrlPr>
          </m:sSubPr>
          <m:e>
            <m:r>
              <m:rPr/>
              <w:rPr>
                <w:rFonts w:hint="eastAsia" w:ascii="Cambria Math" w:hAnsi="Cambria Math"/>
              </w:rPr>
              <m:t>ρ</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表示公式（20）得到的片段评分；</w:t>
      </w:r>
      <m:oMath>
        <m:r>
          <m:rPr/>
          <w:rPr>
            <w:rFonts w:hint="eastAsia" w:ascii="Cambria Math" w:hAnsi="Cambria Math"/>
          </w:rPr>
          <m:t>k</m:t>
        </m:r>
      </m:oMath>
      <w:r>
        <w:rPr>
          <w:rFonts w:hint="eastAsia" w:ascii="Times New Roman" w:hAnsi="Times New Roman"/>
        </w:rPr>
        <w:t>表示用于归一化求和的片段索引；</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表示同一潜在变量对应的局部片段总数。Softmax归一化仅在同一潜在变量的局部片段集合内进行，因此不同潜在变量分别具有独立的片段权重分布。</w:t>
      </w:r>
    </w:p>
    <w:p w14:paraId="442DE4B2">
      <w:pPr>
        <w:ind w:firstLine="440"/>
        <w:rPr>
          <w:rFonts w:hint="eastAsia" w:ascii="Times New Roman" w:hAnsi="Times New Roman"/>
        </w:rPr>
      </w:pPr>
      <w:r>
        <w:rPr>
          <w:rFonts w:hint="eastAsia" w:ascii="Times New Roman" w:hAnsi="Times New Roman"/>
        </w:rPr>
        <w:t>根据片段权重对同一潜在变量的全部局部片段编码结果进行加权求和，获得局部片段聚合表示；随后通过线性映射将其转换为统一的表示维度，局部片段支路的输出定义如公式（22）所示：</w:t>
      </w:r>
    </w:p>
    <w:p w14:paraId="1F03AB36">
      <w:pPr>
        <w:ind w:firstLine="440"/>
        <w:jc w:val="center"/>
        <w:rPr>
          <w:rFonts w:ascii="Times New Roman" w:hAnsi="Times New Roman"/>
        </w:rPr>
      </w:pP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A</m:t>
            </m:r>
            <m:ctrlPr>
              <w:rPr>
                <w:rFonts w:ascii="Cambria Math" w:hAnsi="Cambria Math"/>
                <w:i/>
              </w:rPr>
            </m:ctrlPr>
          </m:sup>
        </m:sSubSup>
        <m:r>
          <m:rPr/>
          <w:rPr>
            <w:rFonts w:ascii="Cambria Math" w:hAnsi="Cambria Math"/>
          </w:rPr>
          <m:t>=</m:t>
        </m:r>
        <m:nary>
          <m:naryPr>
            <m:chr m:val="∑"/>
            <m:ctrlPr>
              <w:rPr>
                <w:rFonts w:ascii="Cambria Math" w:hAnsi="Cambria Math"/>
              </w:rPr>
            </m:ctrlPr>
          </m:naryPr>
          <m:sub>
            <m:r>
              <m:rPr/>
              <w:rPr>
                <w:rFonts w:ascii="Cambria Math" w:hAnsi="Cambria Math"/>
              </w:rPr>
              <m:t>p=0</m:t>
            </m:r>
            <m:ctrlPr>
              <w:rPr>
                <w:rFonts w:ascii="Cambria Math" w:hAnsi="Cambria Math"/>
                <w:i/>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−1</m:t>
            </m:r>
            <m:ctrlPr>
              <w:rPr>
                <w:rFonts w:ascii="Cambria Math" w:hAnsi="Cambria Math"/>
                <w:i/>
              </w:rPr>
            </m:ctrlPr>
          </m:sup>
          <m:e>
            <m:sSub>
              <m:sSubPr>
                <m:ctrlPr>
                  <w:rPr>
                    <w:rFonts w:ascii="Cambria Math" w:hAnsi="Cambria Math"/>
                    <w:i/>
                  </w:rPr>
                </m:ctrlPr>
              </m:sSubPr>
              <m:e>
                <m:r>
                  <m:rPr>
                    <m:sty m:val="p"/>
                  </m:rPr>
                  <w:rPr>
                    <w:rFonts w:ascii="Cambria Math" w:hAnsi="Cambria Math"/>
                  </w:rPr>
                  <m:t>α</m:t>
                </m:r>
                <m:ctrlPr>
                  <w:rPr>
                    <w:rFonts w:ascii="Cambria Math" w:hAnsi="Cambria Math"/>
                  </w:rPr>
                </m:ctrlPr>
              </m:e>
              <m:sub>
                <m:r>
                  <m:rPr/>
                  <w:rPr>
                    <w:rFonts w:ascii="Cambria Math" w:hAnsi="Cambria Math"/>
                  </w:rPr>
                  <m:t>b,v,p</m:t>
                </m:r>
                <m:ctrlPr>
                  <w:rPr>
                    <w:rFonts w:ascii="Cambria Math" w:hAnsi="Cambria Math"/>
                    <w:i/>
                  </w:rPr>
                </m:ctrlPr>
              </m:sub>
            </m:sSub>
            <m:ctrlPr>
              <w:rPr>
                <w:rFonts w:ascii="Cambria Math" w:hAnsi="Cambria Math"/>
              </w:rPr>
            </m:ctrlPr>
          </m:e>
        </m:nary>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rPr>
            </m:ctrlPr>
          </m:e>
          <m:sup>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A</m:t>
            </m:r>
            <m:ctrlPr>
              <w:rPr>
                <w:rFonts w:ascii="Cambria Math" w:hAnsi="Cambria Math"/>
                <w:i/>
              </w:rPr>
            </m:ctrlPr>
          </m:sup>
        </m:sSubSup>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A</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A</m:t>
            </m:r>
            <m:ctrlPr>
              <w:rPr>
                <w:rFonts w:ascii="Cambria Math" w:hAnsi="Cambria Math"/>
                <w:i/>
              </w:rPr>
            </m:ctrlPr>
          </m:sub>
        </m:sSub>
        <m:r>
          <m:rPr>
            <m:sty m:val="p"/>
          </m:rPr>
          <w:rPr>
            <w:rFonts w:hint="eastAsia" w:ascii="Cambria Math" w:hAnsi="Cambria Math"/>
          </w:rPr>
          <m:t>∈</m:t>
        </m:r>
        <m:sSup>
          <m:sSupPr>
            <m:ctrlPr>
              <w:rPr>
                <w:rFonts w:ascii="Cambria Math" w:hAnsi="Cambria Math"/>
                <w:i/>
              </w:rPr>
            </m:ctrlPr>
          </m:sSupPr>
          <m:e>
            <m:r>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i/>
              </w:rPr>
            </m:ctrlPr>
          </m:sup>
        </m:sSup>
      </m:oMath>
      <w:r>
        <w:rPr>
          <w:rFonts w:hint="eastAsia" w:ascii="Times New Roman" w:hAnsi="Times New Roman"/>
        </w:rPr>
        <w:t xml:space="preserve">   (22)</w:t>
      </w:r>
    </w:p>
    <w:p w14:paraId="19AAA387">
      <w:pPr>
        <w:ind w:firstLine="440"/>
        <w:rPr>
          <w:rFonts w:hint="eastAsia" w:ascii="Times New Roman" w:hAnsi="Times New Roman"/>
        </w:rPr>
      </w:pPr>
      <w:r>
        <w:rPr>
          <w:rFonts w:hint="eastAsia" w:ascii="Times New Roman" w:hAnsi="Times New Roman"/>
        </w:rPr>
        <w:t>其中，</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A</m:t>
            </m:r>
            <m:ctrlPr>
              <w:rPr>
                <w:rFonts w:ascii="Cambria Math" w:hAnsi="Cambria Math"/>
                <w:i/>
              </w:rPr>
            </m:ctrlPr>
          </m:sup>
        </m:sSubSup>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个样本、第</w:t>
      </w:r>
      <m:oMath>
        <m:r>
          <m:rPr/>
          <w:rPr>
            <w:rFonts w:hint="eastAsia" w:ascii="Cambria Math" w:hAnsi="Cambria Math"/>
          </w:rPr>
          <m:t>v</m:t>
        </m:r>
      </m:oMath>
      <w:r>
        <w:rPr>
          <w:rFonts w:hint="eastAsia" w:ascii="Times New Roman" w:hAnsi="Times New Roman"/>
        </w:rPr>
        <w:t>个潜在变量的局部片段加权聚合表示；</w:t>
      </w:r>
      <m:oMath>
        <m:sSub>
          <m:sSubPr>
            <m:ctrlPr>
              <w:rPr>
                <w:rFonts w:ascii="Cambria Math" w:hAnsi="Cambria Math"/>
                <w:i/>
              </w:rPr>
            </m:ctrlPr>
          </m:sSubPr>
          <m:e>
            <m:r>
              <m:rPr/>
              <w:rPr>
                <w:rFonts w:hint="eastAsia" w:ascii="Cambria Math" w:hAnsi="Cambria Math"/>
              </w:rPr>
              <m:t>α</m:t>
            </m:r>
            <m:ctrlPr>
              <w:rPr>
                <w:rFonts w:hint="eastAsia" w:ascii="Cambria Math" w:hAnsi="Cambria Math"/>
                <w:i/>
              </w:rPr>
            </m:ctrlPr>
          </m:e>
          <m:sub>
            <m:r>
              <m:rPr/>
              <w:rPr>
                <w:rFonts w:hint="eastAsia" w:ascii="Cambria Math" w:hAnsi="Cambria Math"/>
              </w:rPr>
              <m:t>b,v,p</m:t>
            </m:r>
            <m:ctrlPr>
              <w:rPr>
                <w:rFonts w:ascii="Cambria Math" w:hAnsi="Cambria Math"/>
                <w:i/>
              </w:rPr>
            </m:ctrlPr>
          </m:sub>
        </m:sSub>
      </m:oMath>
      <w:r>
        <w:rPr>
          <w:rFonts w:hint="eastAsia" w:ascii="Times New Roman" w:hAnsi="Times New Roman"/>
        </w:rPr>
        <w:t>表示公式（21）得到的第</w:t>
      </w:r>
      <m:oMath>
        <m:r>
          <m:rPr/>
          <w:rPr>
            <w:rFonts w:hint="eastAsia" w:ascii="Cambria Math" w:hAnsi="Cambria Math"/>
          </w:rPr>
          <m:t>p</m:t>
        </m:r>
      </m:oMath>
      <w:r>
        <w:rPr>
          <w:rFonts w:hint="eastAsia" w:ascii="Times New Roman" w:hAnsi="Times New Roman"/>
        </w:rPr>
        <w:t>个局部片段权重；</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b,v,p,:</m:t>
            </m:r>
            <m:ctrlPr>
              <w:rPr>
                <w:rFonts w:ascii="Cambria Math" w:hAnsi="Cambria Math"/>
                <w:i/>
              </w:rPr>
            </m:ctrlPr>
          </m:sub>
          <m:sup>
            <m:r>
              <m:rPr/>
              <w:rPr>
                <w:rFonts w:ascii="Cambria Math" w:hAnsi="Cambria Math"/>
              </w:rPr>
              <m:t>patch</m:t>
            </m:r>
            <m:ctrlPr>
              <w:rPr>
                <w:rFonts w:ascii="Cambria Math" w:hAnsi="Cambria Math"/>
                <w:i/>
              </w:rPr>
            </m:ctrlPr>
          </m:sup>
        </m:sSubSup>
      </m:oMath>
      <w:r>
        <w:rPr>
          <w:rFonts w:hint="eastAsia" w:ascii="Times New Roman" w:hAnsi="Times New Roman"/>
        </w:rPr>
        <w:t>表示第</w:t>
      </w:r>
      <m:oMath>
        <m:r>
          <m:rPr/>
          <w:rPr>
            <w:rFonts w:hint="eastAsia" w:ascii="Cambria Math" w:hAnsi="Cambria Math"/>
          </w:rPr>
          <m:t>p</m:t>
        </m:r>
      </m:oMath>
      <w:r>
        <w:rPr>
          <w:rFonts w:hint="eastAsia" w:ascii="Times New Roman" w:hAnsi="Times New Roman"/>
        </w:rPr>
        <w:t>个局部片段经过片段变换器编码后得到的特征向量；</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表示局部表示映射矩阵，用于将局部片段加权聚合结果映射至统一特征空间；</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表示局部表示映射偏置；</w:t>
      </w:r>
      <m:oMath>
        <m:sSub>
          <m:sSubPr>
            <m:ctrlPr>
              <w:rPr>
                <w:rFonts w:ascii="Cambria Math" w:hAnsi="Cambria Math"/>
              </w:rPr>
            </m:ctrlPr>
          </m:sSubPr>
          <m:e>
            <m:r>
              <m:rPr>
                <m:sty m:val="p"/>
              </m:rPr>
              <w:rPr>
                <w:rFonts w:ascii="Cambria Math" w:hAnsi="Cambria Math"/>
              </w:rPr>
              <m:t>a</m:t>
            </m:r>
            <m:ctrlPr>
              <w:rPr>
                <w:rFonts w:ascii="Cambria Math" w:hAnsi="Cambria Math"/>
              </w:rPr>
            </m:ctrlPr>
          </m:e>
          <m:sub>
            <m:r>
              <m:rPr>
                <m:sty m:val="p"/>
              </m:rPr>
              <w:rPr>
                <w:rFonts w:ascii="Cambria Math" w:hAnsi="Cambria Math"/>
              </w:rPr>
              <m:t>b</m:t>
            </m:r>
            <m:ctrlPr>
              <w:rPr>
                <w:rFonts w:ascii="Cambria Math" w:hAnsi="Cambria Math"/>
              </w:rPr>
            </m:ctrlPr>
          </m:sub>
        </m:sSub>
        <m:r>
          <m:rPr/>
          <w:rPr>
            <w:rFonts w:ascii="Cambria Math" w:hAnsi="Cambria Math"/>
          </w:rPr>
          <m:t>,</m:t>
        </m:r>
        <m:r>
          <m:rPr>
            <m:sty m:val="p"/>
          </m:rPr>
          <w:rPr>
            <w:rFonts w:ascii="Cambria Math" w:hAnsi="Cambria Math"/>
          </w:rPr>
          <m:t>v</m:t>
        </m:r>
        <m:r>
          <m:rPr/>
          <w:rPr>
            <w:rFonts w:ascii="Cambria Math" w:hAnsi="Cambria Math"/>
          </w:rPr>
          <m:t>,:</m:t>
        </m:r>
      </m:oMath>
      <w:r>
        <w:rPr>
          <w:rFonts w:hint="eastAsia" w:ascii="Times New Roman" w:hAnsi="Times New Roman"/>
        </w:rPr>
        <w:t>表示局部片段支路输出的统一维度特征；</w:t>
      </w:r>
      <m:oMath>
        <m:r>
          <m:rPr/>
          <w:rPr>
            <w:rFonts w:hint="eastAsia" w:ascii="Cambria Math" w:hAnsi="Cambria Math"/>
          </w:rPr>
          <m:t>p</m:t>
        </m:r>
      </m:oMath>
      <w:r>
        <w:rPr>
          <w:rFonts w:hint="eastAsia" w:ascii="Times New Roman" w:hAnsi="Times New Roman"/>
        </w:rPr>
        <w:t>表示局部片段索引，取值范围为</w:t>
      </w:r>
      <m:oMath>
        <m:r>
          <m:rPr/>
          <w:rPr>
            <w:rFonts w:hint="eastAsia" w:ascii="Cambria Math" w:hAnsi="Cambria Math"/>
          </w:rPr>
          <m:t>0,1,…,</m:t>
        </m:r>
        <m:sSub>
          <m:sSubPr>
            <m:ctrlPr>
              <w:rPr>
                <w:rFonts w:ascii="Cambria Math" w:hAnsi="Cambria Math"/>
                <w:i/>
              </w:rPr>
            </m:ctrlPr>
          </m:sSubPr>
          <m:e>
            <m:r>
              <m:rPr/>
              <w:rPr>
                <w:rFonts w:hint="eastAsia" w:ascii="Cambria Math" w:hAnsi="Cambria Math"/>
              </w:rPr>
              <m:t>N</m:t>
            </m:r>
            <m:ctrlPr>
              <w:rPr>
                <w:rFonts w:ascii="Cambria Math" w:hAnsi="Cambria Math"/>
                <w:i/>
              </w:rPr>
            </m:ctrlPr>
          </m:e>
          <m:sub>
            <m:r>
              <m:rPr/>
              <w:rPr>
                <w:rFonts w:hint="eastAsia" w:ascii="Cambria Math" w:hAnsi="Cambria Math"/>
              </w:rPr>
              <m:t>p</m:t>
            </m:r>
            <m:ctrlPr>
              <w:rPr>
                <w:rFonts w:ascii="Cambria Math" w:hAnsi="Cambria Math"/>
                <w:i/>
              </w:rPr>
            </m:ctrlPr>
          </m:sub>
        </m:sSub>
        <m:r>
          <m:rPr/>
          <w:rPr>
            <w:rFonts w:ascii="Cambria Math" w:hAnsi="Cambria Math" w:cs="Cambria Math"/>
          </w:rPr>
          <m:t>−</m:t>
        </m:r>
        <m:r>
          <m:rPr/>
          <w:rPr>
            <w:rFonts w:hint="eastAsia" w:ascii="Cambria Math" w:hAnsi="Cambria Math"/>
          </w:rPr>
          <m:t>1</m:t>
        </m:r>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N</m:t>
            </m:r>
            <m:ctrlPr>
              <w:rPr>
                <w:rFonts w:hint="eastAsia" w:ascii="Cambria Math" w:hAnsi="Cambria Math"/>
                <w:i/>
              </w:rPr>
            </m:ctrlPr>
          </m:e>
          <m:sub>
            <m:r>
              <m:rPr/>
              <w:rPr>
                <w:rFonts w:hint="eastAsia" w:ascii="Cambria Math" w:hAnsi="Cambria Math"/>
              </w:rPr>
              <m:t>p</m:t>
            </m:r>
            <m:ctrlPr>
              <w:rPr>
                <w:rFonts w:ascii="Cambria Math" w:hAnsi="Cambria Math"/>
                <w:i/>
              </w:rPr>
            </m:ctrlPr>
          </m:sub>
        </m:sSub>
      </m:oMath>
      <w:r>
        <w:rPr>
          <w:rFonts w:hint="eastAsia" w:ascii="Times New Roman" w:hAnsi="Times New Roman"/>
        </w:rPr>
        <w:t>表示同一潜在变量对应的局部片段总数。</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A</m:t>
            </m:r>
            <m:ctrlPr>
              <w:rPr>
                <w:rFonts w:ascii="Cambria Math" w:hAnsi="Cambria Math"/>
                <w:i/>
              </w:rPr>
            </m:ctrlPr>
          </m:sub>
        </m:sSub>
      </m:oMath>
      <w:r>
        <w:rPr>
          <w:rFonts w:hint="eastAsia" w:ascii="Times New Roman" w:hAnsi="Times New Roman"/>
        </w:rPr>
        <w:t>为可训练参数，并通过训练过程进行更新。</w:t>
      </w:r>
    </w:p>
    <w:p w14:paraId="70C69C71">
      <w:pPr>
        <w:pStyle w:val="4"/>
        <w:rPr>
          <w:rFonts w:ascii="Times New Roman" w:hAnsi="Times New Roman" w:eastAsia="宋体"/>
        </w:rPr>
      </w:pPr>
      <w:r>
        <w:rPr>
          <w:rFonts w:ascii="Times New Roman" w:hAnsi="Times New Roman" w:eastAsia="宋体"/>
        </w:rPr>
        <w:t>8.S5：完整变量循环轨迹支路</w:t>
      </w:r>
    </w:p>
    <w:p w14:paraId="0E6C7D49">
      <w:pPr>
        <w:pStyle w:val="5"/>
        <w:rPr>
          <w:rFonts w:ascii="Times New Roman" w:hAnsi="Times New Roman"/>
        </w:rPr>
      </w:pPr>
      <w:r>
        <w:rPr>
          <w:rFonts w:ascii="Times New Roman" w:hAnsi="Times New Roman"/>
        </w:rPr>
        <w:t>8.1完整轨迹标记</w:t>
      </w:r>
    </w:p>
    <w:p w14:paraId="730F1216">
      <w:pPr>
        <w:ind w:firstLine="440"/>
        <w:rPr>
          <w:rFonts w:ascii="Times New Roman" w:hAnsi="Times New Roman"/>
        </w:rPr>
      </w:pPr>
      <w:r>
        <w:rPr>
          <w:rFonts w:ascii="Times New Roman" w:hAnsi="Times New Roman"/>
        </w:rPr>
        <w:t>对同一归一化潜在变量不进行局部切片，而是保留其在整个早期窗口内的</w:t>
      </w:r>
      <m:oMath>
        <m:r>
          <m:rPr/>
          <w:rPr>
            <w:rFonts w:ascii="Cambria Math" w:hAnsi="Cambria Math"/>
          </w:rPr>
          <m:t>H</m:t>
        </m:r>
      </m:oMath>
      <w:r>
        <w:rPr>
          <w:rFonts w:ascii="Times New Roman" w:hAnsi="Times New Roman"/>
        </w:rPr>
        <w:t>个循环值，将该完整轨迹作为一个变量标记的输入。轨迹支路的标记数量为</w:t>
      </w:r>
      <m:oMath>
        <m:r>
          <m:rPr/>
          <w:rPr>
            <w:rFonts w:ascii="Cambria Math" w:hAnsi="Cambria Math"/>
          </w:rPr>
          <m:t>V</m:t>
        </m:r>
      </m:oMath>
      <w:r>
        <w:rPr>
          <w:rFonts w:ascii="Times New Roman" w:hAnsi="Times New Roman"/>
        </w:rPr>
        <w:t>，每个标记对应一个潜在变量。</w:t>
      </w:r>
    </w:p>
    <w:p w14:paraId="17CDCBAE">
      <w:pPr>
        <w:ind w:firstLine="440"/>
        <w:rPr>
          <w:rFonts w:ascii="Times New Roman" w:hAnsi="Times New Roman"/>
        </w:rPr>
      </w:pPr>
      <w:r>
        <w:rPr>
          <w:rFonts w:ascii="Times New Roman" w:hAnsi="Times New Roman"/>
        </w:rPr>
        <w:t>将同一潜在变量在完整早期窗口内的归一化循环值按时间顺序组成轨迹标记，轨迹标记定义如公式（23）所示：</w:t>
      </w:r>
    </w:p>
    <w:p w14:paraId="2435DB84">
      <w:pPr>
        <w:ind w:firstLine="440"/>
        <w:jc w:val="center"/>
        <w:rPr>
          <w:rFonts w:ascii="Times New Roman" w:hAnsi="Times New Roman"/>
        </w:rPr>
      </w:pPr>
      <m:oMath>
        <m:sSub>
          <m:sSubPr>
            <m:ctrlPr>
              <w:rPr>
                <w:rFonts w:ascii="Cambria Math" w:hAnsi="Cambria Math"/>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b,1:H,v</m:t>
            </m:r>
            <m:ctrlPr>
              <w:rPr>
                <w:rFonts w:ascii="Cambria Math" w:hAnsi="Cambria Math"/>
              </w:rPr>
            </m:ctrlPr>
          </m:sub>
        </m:sSub>
        <m:r>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rPr>
                </m:ctrlPr>
              </m:e>
              <m:sub>
                <m:r>
                  <m:rPr/>
                  <w:rPr>
                    <w:rFonts w:ascii="Cambria Math" w:hAnsi="Cambria Math"/>
                  </w:rPr>
                  <m:t>b,1,v</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b,2,v</m:t>
                </m:r>
                <m:ctrlPr>
                  <w:rPr>
                    <w:rFonts w:ascii="Cambria Math" w:hAnsi="Cambria Math"/>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b,H,v</m:t>
                </m:r>
                <m:ctrlPr>
                  <w:rPr>
                    <w:rFonts w:ascii="Cambria Math" w:hAnsi="Cambria Math"/>
                  </w:rPr>
                </m:ctrlPr>
              </m:sub>
            </m:sSub>
            <m:ctrlPr>
              <w:rPr>
                <w:rFonts w:ascii="Cambria Math" w:hAnsi="Cambria Math"/>
              </w:rPr>
            </m:ctrlPr>
          </m:e>
        </m:d>
        <m:r>
          <m:rPr>
            <m:sty m:val="p"/>
          </m:rPr>
          <w:rPr>
            <w:rFonts w:hint="eastAsia"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H</m:t>
            </m:r>
            <m:ctrlPr>
              <w:rPr>
                <w:rFonts w:ascii="Cambria Math" w:hAnsi="Cambria Math"/>
              </w:rPr>
            </m:ctrlPr>
          </m:sup>
        </m:sSup>
        <m:r>
          <m:rPr/>
          <w:rPr>
            <w:rFonts w:ascii="Cambria Math" w:hAnsi="Cambria Math"/>
          </w:rPr>
          <m:t>,</m:t>
        </m:r>
        <m:r>
          <m:rPr>
            <m:sty m:val="p"/>
          </m:rPr>
          <w:rPr>
            <w:rFonts w:ascii="Cambria Math" w:hAnsi="Cambria Math"/>
          </w:rPr>
          <m:t> b</m:t>
        </m:r>
        <m:r>
          <m:rPr/>
          <w:rPr>
            <w:rFonts w:ascii="Cambria Math" w:hAnsi="Cambria Math"/>
          </w:rPr>
          <m:t>=1,</m:t>
        </m:r>
        <m:r>
          <m:rPr>
            <m:sty m:val="p"/>
          </m:rPr>
          <w:rPr>
            <w:rFonts w:hint="eastAsia" w:ascii="Cambria Math" w:hAnsi="Cambria Math"/>
          </w:rPr>
          <m:t>…</m:t>
        </m:r>
        <m:r>
          <m:rPr/>
          <w:rPr>
            <w:rFonts w:ascii="Cambria Math" w:hAnsi="Cambria Math"/>
          </w:rPr>
          <m:t>,</m:t>
        </m:r>
        <m:r>
          <m:rPr>
            <m:sty m:val="p"/>
          </m:rPr>
          <w:rPr>
            <w:rFonts w:ascii="Cambria Math" w:hAnsi="Cambria Math"/>
          </w:rPr>
          <m:t>B</m:t>
        </m:r>
        <m:r>
          <m:rPr/>
          <w:rPr>
            <w:rFonts w:ascii="Cambria Math" w:hAnsi="Cambria Math"/>
          </w:rPr>
          <m:t>,</m:t>
        </m:r>
        <m:r>
          <m:rPr>
            <m:sty m:val="p"/>
          </m:rPr>
          <w:rPr>
            <w:rFonts w:ascii="Cambria Math" w:hAnsi="Cambria Math"/>
          </w:rPr>
          <m:t> v</m:t>
        </m:r>
        <m:r>
          <m:rPr/>
          <w:rPr>
            <w:rFonts w:ascii="Cambria Math" w:hAnsi="Cambria Math"/>
          </w:rPr>
          <m:t>=1,</m:t>
        </m:r>
        <m:r>
          <m:rPr>
            <m:sty m:val="p"/>
          </m:rPr>
          <w:rPr>
            <w:rFonts w:hint="eastAsia" w:ascii="Cambria Math" w:hAnsi="Cambria Math"/>
          </w:rPr>
          <m:t>…</m:t>
        </m:r>
        <m:r>
          <m:rPr/>
          <w:rPr>
            <w:rFonts w:ascii="Cambria Math" w:hAnsi="Cambria Math"/>
          </w:rPr>
          <m:t>,</m:t>
        </m:r>
        <m:r>
          <m:rPr>
            <m:sty m:val="p"/>
          </m:rPr>
          <w:rPr>
            <w:rFonts w:ascii="Cambria Math" w:hAnsi="Cambria Math"/>
          </w:rPr>
          <m:t>V</m:t>
        </m:r>
      </m:oMath>
      <w:r>
        <w:rPr>
          <w:rFonts w:ascii="Times New Roman" w:hAnsi="Times New Roman"/>
        </w:rPr>
        <w:t>（23）</w:t>
      </w:r>
    </w:p>
    <w:p w14:paraId="37045C69">
      <w:pPr>
        <w:pStyle w:val="13"/>
        <w:ind w:firstLine="420"/>
        <w:rPr>
          <w:rFonts w:hint="eastAsia"/>
        </w:rPr>
      </w:pPr>
      <w:r>
        <w:t>其中，</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i/>
              </w:rPr>
            </m:ctrlPr>
          </m:sub>
        </m:sSub>
      </m:oMath>
      <w:r>
        <w:t>表示第</w:t>
      </w:r>
      <m:oMath>
        <m:r>
          <m:rPr/>
          <w:rPr>
            <w:rFonts w:ascii="Cambria Math" w:hAnsi="Cambria Math"/>
          </w:rPr>
          <m:t>b</m:t>
        </m:r>
      </m:oMath>
      <w:r>
        <w:t>个样本中第</w:t>
      </w:r>
      <m:oMath>
        <m:r>
          <m:rPr/>
          <w:rPr>
            <w:rFonts w:ascii="Cambria Math" w:hAnsi="Cambria Math"/>
          </w:rPr>
          <m:t>v</m:t>
        </m:r>
      </m:oMath>
      <w:r>
        <w:t>个潜在变量对应的完整循环轨迹标记；</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rPr>
            </m:ctrlPr>
          </m:sub>
        </m:sSub>
      </m:oMath>
      <w:r>
        <w:t>表示第</w:t>
      </w:r>
      <m:oMath>
        <m:r>
          <m:rPr/>
          <w:rPr>
            <w:rFonts w:ascii="Cambria Math" w:hAnsi="Cambria Math"/>
          </w:rPr>
          <m:t>b</m:t>
        </m:r>
      </m:oMath>
      <w:r>
        <w:t>个样本在第</w:t>
      </w:r>
      <m:oMath>
        <m:r>
          <m:rPr/>
          <w:rPr>
            <w:rFonts w:ascii="Cambria Math" w:hAnsi="Cambria Math"/>
          </w:rPr>
          <m:t>t</m:t>
        </m:r>
      </m:oMath>
      <w:r>
        <w:t>个循环位置上的第</w:t>
      </w:r>
      <m:oMath>
        <m:r>
          <m:rPr/>
          <w:rPr>
            <w:rFonts w:ascii="Cambria Math" w:hAnsi="Cambria Math"/>
          </w:rPr>
          <m:t>v</m:t>
        </m:r>
      </m:oMath>
      <w:r>
        <w:t>个归一化潜在变量值；</w:t>
      </w:r>
      <m:oMath>
        <m:r>
          <m:rPr/>
          <w:rPr>
            <w:rFonts w:ascii="Cambria Math" w:hAnsi="Cambria Math"/>
          </w:rPr>
          <m:t>H</m:t>
        </m:r>
      </m:oMath>
      <w:r>
        <w:t>表示早期循环观测窗口包含的循环数量；</w:t>
      </w:r>
      <m:oMath>
        <m:r>
          <m:rPr/>
          <w:rPr>
            <w:rFonts w:ascii="Cambria Math" w:hAnsi="Cambria Math"/>
          </w:rPr>
          <m:t>B</m:t>
        </m:r>
      </m:oMath>
      <w:r>
        <w:t>表示样本数量；</w:t>
      </w:r>
      <m:oMath>
        <m:r>
          <m:rPr/>
          <w:rPr>
            <w:rFonts w:ascii="Cambria Math" w:hAnsi="Cambria Math"/>
          </w:rPr>
          <m:t>V</m:t>
        </m:r>
      </m:oMath>
      <w:r>
        <w:t>表示潜在变量数量；</w:t>
      </w:r>
      <m:oMath>
        <m:r>
          <m:rPr/>
          <w:rPr>
            <w:rFonts w:ascii="Cambria Math" w:hAnsi="Cambria Math"/>
          </w:rPr>
          <m:t>b</m:t>
        </m:r>
      </m:oMath>
      <w:r>
        <w:t>表示样本索引，取值范围为</w:t>
      </w:r>
      <m:oMath>
        <m:r>
          <m:rPr/>
          <w:rPr>
            <w:rFonts w:ascii="Cambria Math" w:hAnsi="Cambria Math"/>
          </w:rPr>
          <m:t>1,2,…,B</m:t>
        </m:r>
      </m:oMath>
      <w:r>
        <w:t>；</w:t>
      </w:r>
      <m:oMath>
        <m:r>
          <m:rPr/>
          <w:rPr>
            <w:rFonts w:ascii="Cambria Math" w:hAnsi="Cambria Math"/>
          </w:rPr>
          <m:t>v</m:t>
        </m:r>
      </m:oMath>
      <w:r>
        <w:t>表示潜在变量索引，取值范围为</w:t>
      </w:r>
      <m:oMath>
        <m:r>
          <m:rPr/>
          <w:rPr>
            <w:rFonts w:ascii="Cambria Math" w:hAnsi="Cambria Math"/>
          </w:rPr>
          <m:t>1,2,…,V</m:t>
        </m:r>
      </m:oMath>
      <w:r>
        <w:t>；</w:t>
      </w:r>
      <m:oMath>
        <m:r>
          <m:rPr/>
          <w:rPr>
            <w:rFonts w:ascii="Cambria Math" w:hAnsi="Cambria Math"/>
          </w:rPr>
          <m:t>t</m:t>
        </m:r>
      </m:oMath>
      <w:r>
        <w:t>表示循环位置索引，取值范围为</w:t>
      </w:r>
      <m:oMath>
        <m:r>
          <m:rPr/>
          <w:rPr>
            <w:rFonts w:ascii="Cambria Math" w:hAnsi="Cambria Math"/>
          </w:rPr>
          <m:t>1,2,…,H</m:t>
        </m:r>
      </m:oMath>
      <w:r>
        <w:t>；符号</w:t>
      </w:r>
      <m:oMath>
        <m:r>
          <m:rPr/>
          <w:rPr>
            <w:rFonts w:ascii="Cambria Math" w:hAnsi="Cambria Math"/>
          </w:rPr>
          <m:t>1:H</m:t>
        </m:r>
      </m:oMath>
      <w:r>
        <w:t>表示按照循环顺序选取第</w:t>
      </w:r>
      <m:oMath>
        <m:r>
          <m:rPr/>
          <w:rPr>
            <w:rFonts w:ascii="Cambria Math" w:hAnsi="Cambria Math"/>
          </w:rPr>
          <m:t>1</m:t>
        </m:r>
      </m:oMath>
      <w:r>
        <w:t>个至第</w:t>
      </w:r>
      <m:oMath>
        <m:r>
          <m:rPr/>
          <w:rPr>
            <w:rFonts w:ascii="Cambria Math" w:hAnsi="Cambria Math"/>
          </w:rPr>
          <m:t>H</m:t>
        </m:r>
      </m:oMath>
      <w:r>
        <w:t>个循环位置。完整轨迹标记保留同一潜在变量在整个观测窗口内的变化过程，用于表征该潜在变量的初始状态、累积退化趋势、阶段性变化和末端变化特征。</w:t>
      </w:r>
    </w:p>
    <w:p w14:paraId="413324CE">
      <w:pPr>
        <w:pStyle w:val="5"/>
        <w:rPr>
          <w:rFonts w:ascii="Times New Roman" w:hAnsi="Times New Roman"/>
        </w:rPr>
      </w:pPr>
      <w:r>
        <w:rPr>
          <w:rFonts w:ascii="Times New Roman" w:hAnsi="Times New Roman"/>
        </w:rPr>
        <w:t>8.2轨迹嵌入</w:t>
      </w:r>
    </w:p>
    <w:p w14:paraId="6217C21C">
      <w:pPr>
        <w:ind w:firstLine="440"/>
        <w:rPr>
          <w:rFonts w:ascii="Times New Roman" w:hAnsi="Times New Roman"/>
        </w:rPr>
      </w:pPr>
      <w:r>
        <w:rPr>
          <w:rFonts w:ascii="Times New Roman" w:hAnsi="Times New Roman"/>
        </w:rPr>
        <w:t>采用共享轨迹映射将每个</w:t>
      </w:r>
      <m:oMath>
        <m:r>
          <m:rPr/>
          <w:rPr>
            <w:rFonts w:ascii="Cambria Math" w:hAnsi="Cambria Math"/>
          </w:rPr>
          <m:t>H</m:t>
        </m:r>
      </m:oMath>
      <w:r>
        <w:rPr>
          <w:rFonts w:ascii="Times New Roman" w:hAnsi="Times New Roman"/>
        </w:rPr>
        <w:t>维变量轨迹转换为</w:t>
      </w:r>
      <m:oMath>
        <m:r>
          <m:rPr/>
          <w:rPr>
            <w:rFonts w:ascii="Cambria Math" w:hAnsi="Cambria Math"/>
          </w:rPr>
          <m:t>d</m:t>
        </m:r>
      </m:oMath>
      <w:r>
        <w:rPr>
          <w:rFonts w:ascii="Times New Roman" w:hAnsi="Times New Roman"/>
        </w:rPr>
        <w:t>维变量表示。由于输入分量按循环顺序排列，该映射能够感知初始水平、整体斜率、阶段性拐点和末端趋势。</w:t>
      </w:r>
    </w:p>
    <w:p w14:paraId="1A615477">
      <w:pPr>
        <w:ind w:firstLine="440"/>
        <w:rPr>
          <w:rFonts w:ascii="Times New Roman" w:hAnsi="Times New Roman"/>
        </w:rPr>
      </w:pPr>
      <w:r>
        <w:rPr>
          <w:rFonts w:ascii="Times New Roman" w:hAnsi="Times New Roman"/>
        </w:rPr>
        <w:t>对每个完整轨迹标记施加共享轨迹映射，得到保留长期退化趋势的轨迹表示，轨迹嵌入定义如公式（24）所示：</w:t>
      </w:r>
    </w:p>
    <w:p w14:paraId="447E8CC1">
      <w:pPr>
        <w:jc w:val="center"/>
        <w:rPr>
          <w:rFonts w:ascii="Times New Roman" w:hAnsi="Times New Roman"/>
        </w:rPr>
      </w:pPr>
      <m:oMath>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B</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b,v,:</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（24）</w:t>
      </w:r>
    </w:p>
    <w:p w14:paraId="3DCAFFB9">
      <w:pPr>
        <w:ind w:firstLine="440"/>
        <w:rPr>
          <w:rFonts w:ascii="Times New Roman" w:hAnsi="Times New Roman"/>
        </w:rPr>
      </w:pPr>
      <w:r>
        <w:rPr>
          <w:rFonts w:ascii="Times New Roman" w:hAnsi="Times New Roman"/>
        </w:rPr>
        <w:t>其中，</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B</m:t>
            </m:r>
            <m:ctrlPr>
              <w:rPr>
                <w:rFonts w:ascii="Cambria Math" w:hAnsi="Cambria Math"/>
                <w:i/>
              </w:rPr>
            </m:ctrlPr>
          </m:sup>
        </m:sSubSup>
      </m:oMath>
      <w:r>
        <w:rPr>
          <w:rFonts w:ascii="Times New Roman" w:hAnsi="Times New Roman"/>
        </w:rPr>
        <w:t>表示完整轨迹支路的</w:t>
      </w:r>
      <m:oMath>
        <m:r>
          <m:rPr/>
          <w:rPr>
            <w:rFonts w:ascii="Cambria Math" w:hAnsi="Cambria Math"/>
          </w:rPr>
          <m:t>d</m:t>
        </m:r>
      </m:oMath>
      <w:r>
        <w:rPr>
          <w:rFonts w:ascii="Times New Roman" w:hAnsi="Times New Roman"/>
        </w:rPr>
        <w:t>维表示；</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w:t>
      </w:r>
      <m:oMath>
        <m:r>
          <m:rPr/>
          <w:rPr>
            <w:rFonts w:ascii="Cambria Math" w:hAnsi="Cambria Math"/>
          </w:rPr>
          <m:t>H</m:t>
        </m:r>
      </m:oMath>
      <w:r>
        <w:rPr>
          <w:rFonts w:ascii="Times New Roman" w:hAnsi="Times New Roman"/>
        </w:rPr>
        <w:t>维完整轨迹；</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inv</m:t>
            </m:r>
            <m:ctrlPr>
              <w:rPr>
                <w:rFonts w:ascii="Cambria Math" w:hAnsi="Cambria Math"/>
                <w:i/>
              </w:rPr>
            </m:ctrlPr>
          </m:sub>
        </m:sSub>
      </m:oMath>
      <w:r>
        <w:rPr>
          <w:rFonts w:ascii="Times New Roman" w:hAnsi="Times New Roman"/>
        </w:rPr>
        <w:t>表示共享轨迹映射矩阵；</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inv</m:t>
            </m:r>
            <m:ctrlPr>
              <w:rPr>
                <w:rFonts w:ascii="Cambria Math" w:hAnsi="Cambria Math"/>
                <w:i/>
              </w:rPr>
            </m:ctrlPr>
          </m:sub>
        </m:sSub>
      </m:oMath>
      <w:r>
        <w:rPr>
          <w:rFonts w:ascii="Times New Roman" w:hAnsi="Times New Roman"/>
        </w:rPr>
        <w:t>表示轨迹映射偏置；映射在所有潜在变量之间共享。</w:t>
      </w:r>
    </w:p>
    <w:p w14:paraId="45EAA71F">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H×d</m:t>
            </m:r>
            <m:ctrlPr>
              <w:rPr>
                <w:rFonts w:ascii="Cambria Math" w:hAnsi="Cambria Math"/>
              </w:rPr>
            </m:ctrlPr>
          </m:sup>
        </m:sSup>
      </m:oMath>
      <w:r>
        <w:rPr>
          <w:rFonts w:ascii="Times New Roman" w:hAnsi="Times New Roman"/>
        </w:rPr>
        <w:t>为轨迹映射矩阵，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inv</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为偏置；该映射在所有潜在变量之间共享，输入轨迹的第</w:t>
      </w:r>
      <m:oMath>
        <m:r>
          <m:rPr/>
          <w:rPr>
            <w:rFonts w:ascii="Cambria Math" w:hAnsi="Cambria Math"/>
          </w:rPr>
          <m:t>t</m:t>
        </m:r>
      </m:oMath>
      <w:r>
        <w:rPr>
          <w:rFonts w:ascii="Times New Roman" w:hAnsi="Times New Roman"/>
        </w:rPr>
        <w:t>个分量始终对应第</w:t>
      </w:r>
      <m:oMath>
        <m:r>
          <m:rPr/>
          <w:rPr>
            <w:rFonts w:ascii="Cambria Math" w:hAnsi="Cambria Math"/>
          </w:rPr>
          <m:t>t</m:t>
        </m:r>
      </m:oMath>
      <w:r>
        <w:rPr>
          <w:rFonts w:ascii="Times New Roman" w:hAnsi="Times New Roman"/>
        </w:rPr>
        <w:t>个循环位置。</w:t>
      </w:r>
    </w:p>
    <w:p w14:paraId="561A3663">
      <w:pPr>
        <w:pStyle w:val="5"/>
        <w:rPr>
          <w:rFonts w:ascii="Times New Roman" w:hAnsi="Times New Roman"/>
        </w:rPr>
      </w:pPr>
      <w:r>
        <w:rPr>
          <w:rFonts w:ascii="Times New Roman" w:hAnsi="Times New Roman"/>
        </w:rPr>
        <w:t>8.3两支路的互补关系</w:t>
      </w:r>
    </w:p>
    <w:p w14:paraId="162773E9">
      <w:pPr>
        <w:ind w:firstLine="440"/>
        <w:rPr>
          <w:rFonts w:hint="eastAsia" w:ascii="Times New Roman" w:hAnsi="Times New Roman"/>
        </w:rPr>
      </w:pPr>
      <w:r>
        <w:rPr>
          <w:rFonts w:hint="eastAsia" w:ascii="Times New Roman" w:hAnsi="Times New Roman"/>
        </w:rPr>
        <w:t>局部循环片段支路和完整变量循环轨迹支路均以同一归一化潜在变量序列为输入，但采用不同的时序处理方式，因此能够提取具有互补性的退化信息。</w:t>
      </w:r>
    </w:p>
    <w:p w14:paraId="02966E1E">
      <w:pPr>
        <w:ind w:firstLine="440"/>
        <w:rPr>
          <w:rFonts w:hint="eastAsia" w:ascii="Times New Roman" w:hAnsi="Times New Roman"/>
        </w:rPr>
      </w:pPr>
      <w:r>
        <w:rPr>
          <w:rFonts w:hint="eastAsia" w:ascii="Times New Roman" w:hAnsi="Times New Roman"/>
        </w:rPr>
        <w:t>对于第</w:t>
      </w:r>
      <m:oMath>
        <m:r>
          <m:rPr/>
          <w:rPr>
            <w:rFonts w:hint="eastAsia" w:ascii="Cambria Math" w:hAnsi="Cambria Math"/>
          </w:rPr>
          <m:t>b</m:t>
        </m:r>
      </m:oMath>
      <w:r>
        <w:rPr>
          <w:rFonts w:hint="eastAsia" w:ascii="Times New Roman" w:hAnsi="Times New Roman"/>
        </w:rPr>
        <w:t>个样本的第</w:t>
      </w:r>
      <m:oMath>
        <m:r>
          <m:rPr/>
          <w:rPr>
            <w:rFonts w:hint="eastAsia" w:ascii="Cambria Math" w:hAnsi="Cambria Math"/>
          </w:rPr>
          <m:t>v</m:t>
        </m:r>
      </m:oMath>
      <w:r>
        <w:rPr>
          <w:rFonts w:hint="eastAsia" w:ascii="Times New Roman" w:hAnsi="Times New Roman"/>
        </w:rPr>
        <w:t>个潜在变量，局部循环片段支路沿循环方向将归一化序列划分为多个具有重叠关系的局部片段，并通过片段变换器和片段级自适应权重聚合，得到局部片段表示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hint="eastAsia" w:ascii="Times New Roman" w:hAnsi="Times New Roman"/>
        </w:rPr>
        <w:t>。该表示主要反映较短循环范围内的退化变化，例如容量平台移动、局部斜率变化、阶段性拐点以及短时突变等信息。</w:t>
      </w:r>
    </w:p>
    <w:p w14:paraId="600B186A">
      <w:pPr>
        <w:ind w:firstLine="440"/>
        <w:rPr>
          <w:rFonts w:hint="eastAsia" w:ascii="Times New Roman" w:hAnsi="Times New Roman"/>
        </w:rPr>
      </w:pPr>
      <w:r>
        <w:rPr>
          <w:rFonts w:hint="eastAsia" w:ascii="Times New Roman" w:hAnsi="Times New Roman"/>
        </w:rPr>
        <w:t>完整变量循环轨迹支路不对循环序列进行局部切分，而是保留第</w:t>
      </w:r>
      <m:oMath>
        <m:r>
          <m:rPr/>
          <w:rPr>
            <w:rFonts w:hint="eastAsia" w:ascii="Cambria Math" w:hAnsi="Cambria Math"/>
          </w:rPr>
          <m:t>v</m:t>
        </m:r>
      </m:oMath>
      <w:r>
        <w:rPr>
          <w:rFonts w:hint="eastAsia" w:ascii="Times New Roman" w:hAnsi="Times New Roman"/>
        </w:rPr>
        <w:t>个潜在变量在整个早期观测窗口内的完整变化轨迹，并通过轨迹映射得到完整轨迹表示</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B</m:t>
            </m:r>
            <m:ctrlPr>
              <w:rPr>
                <w:rFonts w:ascii="Cambria Math" w:hAnsi="Cambria Math"/>
                <w:i/>
              </w:rPr>
            </m:ctrlPr>
          </m:sup>
        </m:sSubSup>
      </m:oMath>
      <w:r>
        <w:rPr>
          <w:rFonts w:hint="eastAsia" w:ascii="Times New Roman" w:hAnsi="Times New Roman"/>
        </w:rPr>
        <w:t>。该表示主要反映较长循环范围内的累积退化趋势、初始状态、整体变化斜率、阶段性演化过程和末端退化形状等信息。</w:t>
      </w:r>
    </w:p>
    <w:p w14:paraId="46A563E8">
      <w:pPr>
        <w:ind w:firstLine="440"/>
        <w:rPr>
          <w:rFonts w:ascii="Times New Roman" w:hAnsi="Times New Roman"/>
        </w:rPr>
      </w:pPr>
      <w:commentRangeStart w:id="5"/>
      <w:r>
        <w:rPr>
          <w:rFonts w:hint="eastAsia" w:ascii="Times New Roman" w:hAnsi="Times New Roman"/>
        </w:rPr>
        <w:t>两条支路的输入均来源于同一归一化潜在变量序列</w:t>
      </w:r>
      <m:oMath>
        <m:sSub>
          <m:sSubPr>
            <m:ctrlPr>
              <w:rPr>
                <w:rFonts w:ascii="Cambria Math" w:hAnsi="Cambria Math"/>
                <w:i/>
              </w:rPr>
            </m:ctrlPr>
          </m:sSubPr>
          <m:e>
            <m:acc>
              <m:accPr>
                <m:chr m:val="̃"/>
                <m:ctrlPr>
                  <w:rPr>
                    <w:rFonts w:ascii="Cambria Math" w:hAnsi="Cambria Math"/>
                  </w:rPr>
                </m:ctrlPr>
              </m:accPr>
              <m:e>
                <m:r>
                  <m:rPr/>
                  <w:rPr>
                    <w:rFonts w:ascii="Cambria Math" w:hAnsi="Cambria Math"/>
                  </w:rPr>
                  <m:t>Z</m:t>
                </m:r>
                <m:ctrlPr>
                  <w:rPr>
                    <w:rFonts w:ascii="Cambria Math" w:hAnsi="Cambria Math"/>
                  </w:rPr>
                </m:ctrlPr>
              </m:e>
            </m:acc>
            <m:ctrlPr>
              <w:rPr>
                <w:rFonts w:ascii="Cambria Math" w:hAnsi="Cambria Math"/>
                <w:i/>
              </w:rPr>
            </m:ctrlPr>
          </m:e>
          <m:sub>
            <m:r>
              <m:rPr/>
              <w:rPr>
                <w:rFonts w:ascii="Cambria Math" w:hAnsi="Cambria Math"/>
              </w:rPr>
              <m:t>b,t,v</m:t>
            </m:r>
            <m:ctrlPr>
              <w:rPr>
                <w:rFonts w:ascii="Cambria Math" w:hAnsi="Cambria Math"/>
                <w:i/>
              </w:rPr>
            </m:ctrlPr>
          </m:sub>
        </m:sSub>
      </m:oMath>
      <w:r>
        <w:rPr>
          <w:rFonts w:hint="eastAsia" w:ascii="Times New Roman" w:hAnsi="Times New Roman"/>
        </w:rPr>
        <w:t>，并且始终保留样本索引</w:t>
      </w:r>
      <m:oMath>
        <m:r>
          <m:rPr/>
          <w:rPr>
            <w:rFonts w:hint="eastAsia" w:ascii="Cambria Math" w:hAnsi="Cambria Math"/>
          </w:rPr>
          <m:t>b</m:t>
        </m:r>
      </m:oMath>
      <w:r>
        <w:rPr>
          <w:rFonts w:hint="eastAsia" w:ascii="Times New Roman" w:hAnsi="Times New Roman"/>
        </w:rPr>
        <w:t>和潜在变量索引</w:t>
      </w:r>
      <m:oMath>
        <m:r>
          <m:rPr/>
          <w:rPr>
            <w:rFonts w:hint="eastAsia" w:ascii="Cambria Math" w:hAnsi="Cambria Math"/>
          </w:rPr>
          <m:t>v</m:t>
        </m:r>
      </m:oMath>
      <w:r>
        <w:rPr>
          <w:rFonts w:hint="eastAsia" w:ascii="Times New Roman" w:hAnsi="Times New Roman"/>
        </w:rPr>
        <w:t>。因此，对于同一个样本和同一个潜在变量，局部片段表示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hint="eastAsia" w:ascii="Times New Roman" w:hAnsi="Times New Roman"/>
        </w:rPr>
        <w:t>与完整轨迹表示</w:t>
      </w:r>
      <m:oMath>
        <m:sSubSup>
          <m:sSubSupPr>
            <m:ctrlPr>
              <w:rPr>
                <w:rFonts w:ascii="Cambria Math" w:hAnsi="Cambria Math"/>
                <w:i/>
              </w:rPr>
            </m:ctrlPr>
          </m:sSubSupPr>
          <m:e>
            <m:r>
              <m:rPr/>
              <w:rPr>
                <w:rFonts w:ascii="Cambria Math" w:hAnsi="Cambria Math" w:cs="Cambria Math"/>
              </w:rPr>
              <m:t>h</m:t>
            </m:r>
            <m:ctrlPr>
              <w:rPr>
                <w:rFonts w:ascii="Cambria Math" w:hAnsi="Cambria Math" w:cs="Cambria Math"/>
                <w:i/>
              </w:rPr>
            </m:ctrlPr>
          </m:e>
          <m:sub>
            <m:r>
              <m:rPr/>
              <w:rPr>
                <w:rFonts w:hint="eastAsia" w:ascii="Cambria Math" w:hAnsi="Cambria Math"/>
              </w:rPr>
              <m:t>b,v,:</m:t>
            </m:r>
            <m:ctrlPr>
              <w:rPr>
                <w:rFonts w:ascii="Cambria Math" w:hAnsi="Cambria Math"/>
                <w:i/>
              </w:rPr>
            </m:ctrlPr>
          </m:sub>
          <m:sup>
            <m:r>
              <m:rPr/>
              <w:rPr>
                <w:rFonts w:hint="eastAsia" w:ascii="Cambria Math" w:hAnsi="Cambria Math"/>
              </w:rPr>
              <m:t>B</m:t>
            </m:r>
            <m:ctrlPr>
              <w:rPr>
                <w:rFonts w:ascii="Cambria Math" w:hAnsi="Cambria Math"/>
                <w:i/>
              </w:rPr>
            </m:ctrlPr>
          </m:sup>
        </m:sSubSup>
      </m:oMath>
      <w:r>
        <w:rPr>
          <w:rFonts w:hint="eastAsia" w:ascii="Times New Roman" w:hAnsi="Times New Roman"/>
        </w:rPr>
        <w:t>具有一一对应关系。后续按照相同的潜在变量索引对两种表示进行对齐和拼接，使局部退化征兆与长期退化趋势在同一潜在变量层面进行融合，避免不同潜在变量之间发生错误匹配。</w:t>
      </w:r>
      <w:commentRangeEnd w:id="5"/>
      <w:r>
        <w:commentReference w:id="5"/>
      </w:r>
    </w:p>
    <w:p w14:paraId="51F6A35B">
      <w:pPr>
        <w:pStyle w:val="4"/>
        <w:rPr>
          <w:rFonts w:ascii="Times New Roman" w:hAnsi="Times New Roman" w:eastAsia="宋体"/>
        </w:rPr>
      </w:pPr>
      <w:r>
        <w:rPr>
          <w:rFonts w:ascii="Times New Roman" w:hAnsi="Times New Roman" w:eastAsia="宋体"/>
        </w:rPr>
        <w:t>9.S6：双支路融合、变量关系编码和RUL回归</w:t>
      </w:r>
    </w:p>
    <w:p w14:paraId="7DE5BF5C">
      <w:pPr>
        <w:pStyle w:val="5"/>
        <w:rPr>
          <w:rFonts w:ascii="Times New Roman" w:hAnsi="Times New Roman"/>
        </w:rPr>
      </w:pPr>
      <w:r>
        <w:rPr>
          <w:rFonts w:ascii="Times New Roman" w:hAnsi="Times New Roman"/>
        </w:rPr>
        <w:t>9.1逐变量融合</w:t>
      </w:r>
    </w:p>
    <w:p w14:paraId="71EB1C70">
      <w:pPr>
        <w:ind w:firstLine="440"/>
        <w:rPr>
          <w:rFonts w:ascii="Times New Roman" w:hAnsi="Times New Roman"/>
        </w:rPr>
      </w:pPr>
      <w:r>
        <w:rPr>
          <w:rFonts w:ascii="Times New Roman" w:hAnsi="Times New Roman"/>
        </w:rPr>
        <w:t>将两个支路的表示按潜在变量索引对齐，并在通道维拼接，形成同时包含局部模式和完整轨迹的联合表示。</w:t>
      </w:r>
    </w:p>
    <w:p w14:paraId="43350E7D">
      <w:pPr>
        <w:ind w:firstLine="440"/>
        <w:rPr>
          <w:rFonts w:ascii="Times New Roman" w:hAnsi="Times New Roman"/>
        </w:rPr>
      </w:pPr>
      <w:r>
        <w:rPr>
          <w:rFonts w:ascii="Times New Roman" w:hAnsi="Times New Roman"/>
        </w:rPr>
        <w:t>将局部片段支路和完整轨迹支路在相同潜在变量索引处对齐，并沿通道维拼接，联合表示定义如公式（25）所示：</w:t>
      </w:r>
    </w:p>
    <w:p w14:paraId="63AEE3CE">
      <w:pPr>
        <w:jc w:val="center"/>
        <w:rPr>
          <w:rFonts w:ascii="Times New Roman" w:hAnsi="Times New Roman"/>
        </w:rPr>
      </w:pP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b,v,:</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2d</m:t>
            </m:r>
            <m:ctrlPr>
              <w:rPr>
                <w:rFonts w:ascii="Cambria Math" w:hAnsi="Cambria Math"/>
              </w:rPr>
            </m:ctrlPr>
          </m:sup>
        </m:sSup>
      </m:oMath>
      <w:r>
        <w:rPr>
          <w:rFonts w:ascii="Times New Roman" w:hAnsi="Times New Roman"/>
        </w:rPr>
        <w:t>（25）</w:t>
      </w:r>
    </w:p>
    <w:p w14:paraId="61CB56F5">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个潜在变量的联合表示；</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和</w:t>
      </w:r>
      <m:oMath>
        <m:sSubSup>
          <m:sSubSupPr>
            <m:ctrlPr>
              <w:rPr>
                <w:rFonts w:ascii="Cambria Math" w:hAnsi="Cambria Math"/>
                <w:i/>
              </w:rPr>
            </m:ctrlPr>
          </m:sSubSupPr>
          <m:e>
            <m:r>
              <m:rPr/>
              <w:rPr>
                <w:rFonts w:ascii="Cambria Math" w:hAnsi="Cambria Math"/>
              </w:rPr>
              <m:t>h</m:t>
            </m:r>
            <m:ctrlPr>
              <w:rPr>
                <w:rFonts w:ascii="Cambria Math" w:hAnsi="Cambria Math"/>
                <w:i/>
              </w:rPr>
            </m:ctrlPr>
          </m:e>
          <m:sub>
            <m:r>
              <m:rPr/>
              <w:rPr>
                <w:rFonts w:ascii="Cambria Math" w:hAnsi="Cambria Math"/>
              </w:rPr>
              <m:t>b,v,:</m:t>
            </m:r>
            <m:ctrlPr>
              <w:rPr>
                <w:rFonts w:ascii="Cambria Math" w:hAnsi="Cambria Math"/>
                <w:i/>
              </w:rPr>
            </m:ctrlPr>
          </m:sub>
          <m:sup>
            <m:r>
              <m:rPr/>
              <w:rPr>
                <w:rFonts w:ascii="Cambria Math" w:hAnsi="Cambria Math"/>
              </w:rPr>
              <m:t>B</m:t>
            </m:r>
            <m:ctrlPr>
              <w:rPr>
                <w:rFonts w:ascii="Cambria Math" w:hAnsi="Cambria Math"/>
                <w:i/>
              </w:rPr>
            </m:ctrlPr>
          </m:sup>
        </m:sSubSup>
      </m:oMath>
      <w:r>
        <w:rPr>
          <w:rFonts w:ascii="Times New Roman" w:hAnsi="Times New Roman"/>
        </w:rPr>
        <w:t>分别表示局部片段支路与完整轨迹支路输出；联合表示维度为</w:t>
      </w:r>
      <m:oMath>
        <m:r>
          <m:rPr/>
          <w:rPr>
            <w:rFonts w:ascii="Cambria Math" w:hAnsi="Cambria Math"/>
          </w:rPr>
          <m:t>2d</m:t>
        </m:r>
      </m:oMath>
      <w:r>
        <w:rPr>
          <w:rFonts w:ascii="Times New Roman" w:hAnsi="Times New Roman"/>
        </w:rPr>
        <w:t>。</w:t>
      </w:r>
    </w:p>
    <w:p w14:paraId="50D3DEE0">
      <w:pPr>
        <w:ind w:firstLine="440"/>
        <w:rPr>
          <w:rFonts w:ascii="Times New Roman" w:hAnsi="Times New Roman"/>
        </w:rPr>
      </w:pPr>
      <w:r>
        <w:rPr>
          <w:rFonts w:ascii="Times New Roman" w:hAnsi="Times New Roman"/>
        </w:rPr>
        <w:t>对联合表示依次执行层归一化、线性映射、GELU激活和随机失活，得到逐变量融合表示，融合变换定义如公式（26）所示：</w:t>
      </w:r>
    </w:p>
    <w:p w14:paraId="3867B8B1">
      <w:pPr>
        <w:jc w:val="center"/>
        <w:rPr>
          <w:rFonts w:ascii="Times New Roman" w:hAnsi="Times New Roman"/>
        </w:rPr>
      </w:pP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=Dropout</m:t>
        </m:r>
        <m:d>
          <m:dPr>
            <m:ctrlPr>
              <w:rPr>
                <w:rFonts w:ascii="Cambria Math" w:hAnsi="Cambria Math"/>
              </w:rPr>
            </m:ctrlPr>
          </m:dPr>
          <m:e>
            <m:r>
              <m:rPr/>
              <w:rPr>
                <w:rFonts w:ascii="Cambria Math" w:hAnsi="Cambria Math"/>
              </w:rPr>
              <m:t>GELU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（26）</w:t>
      </w:r>
    </w:p>
    <w:p w14:paraId="6E34DE8D">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表示逐变量融合表示；</w:t>
      </w:r>
      <m:oMath>
        <m:r>
          <m:rPr/>
          <w:rPr>
            <w:rFonts w:ascii="Cambria Math" w:hAnsi="Cambria Math"/>
          </w:rPr>
          <m:t>LayerNorm</m:t>
        </m:r>
      </m:oMath>
      <w:r>
        <w:rPr>
          <w:rFonts w:ascii="Times New Roman" w:hAnsi="Times New Roman"/>
        </w:rPr>
        <w:t>表示层归一化；</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oMath>
      <w:r>
        <w:rPr>
          <w:rFonts w:ascii="Times New Roman" w:hAnsi="Times New Roman"/>
        </w:rPr>
        <w:t>和</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oMath>
      <w:r>
        <w:rPr>
          <w:rFonts w:ascii="Times New Roman" w:hAnsi="Times New Roman"/>
        </w:rPr>
        <w:t>分别表示融合线性映射矩阵和偏置；</w:t>
      </w:r>
      <m:oMath>
        <m:r>
          <m:rPr/>
          <w:rPr>
            <w:rFonts w:ascii="Cambria Math" w:hAnsi="Cambria Math"/>
          </w:rPr>
          <m:t>GELU</m:t>
        </m:r>
      </m:oMath>
      <w:r>
        <w:rPr>
          <w:rFonts w:ascii="Times New Roman" w:hAnsi="Times New Roman"/>
        </w:rPr>
        <w:t>表示高斯误差线性单元激活函数；</w:t>
      </w:r>
      <m:oMath>
        <m:r>
          <m:rPr/>
          <w:rPr>
            <w:rFonts w:ascii="Cambria Math" w:hAnsi="Cambria Math"/>
          </w:rPr>
          <m:t>Dropout</m:t>
        </m:r>
      </m:oMath>
      <w:r>
        <w:rPr>
          <w:rFonts w:ascii="Times New Roman" w:hAnsi="Times New Roman"/>
        </w:rPr>
        <w:t>表示随机失活；输出维度为</w:t>
      </w:r>
      <m:oMath>
        <m:r>
          <m:rPr/>
          <w:rPr>
            <w:rFonts w:ascii="Cambria Math" w:hAnsi="Cambria Math"/>
          </w:rPr>
          <m:t>d</m:t>
        </m:r>
      </m:oMath>
      <w:r>
        <w:rPr>
          <w:rFonts w:ascii="Times New Roman" w:hAnsi="Times New Roman"/>
        </w:rPr>
        <w:t>，随机失活仅在训练阶段启用。</w:t>
      </w:r>
    </w:p>
    <w:p w14:paraId="7E251FB6">
      <w:pPr>
        <w:ind w:firstLine="440"/>
        <w:rPr>
          <w:rFonts w:ascii="Times New Roman" w:hAnsi="Times New Roman"/>
        </w:rPr>
      </w:pPr>
      <w:r>
        <w:rPr>
          <w:rFonts w:ascii="Times New Roman" w:hAnsi="Times New Roman"/>
        </w:rPr>
        <w:t>其中</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2d×d</m:t>
            </m:r>
            <m:ctrlPr>
              <w:rPr>
                <w:rFonts w:ascii="Cambria Math" w:hAnsi="Cambria Math"/>
              </w:rPr>
            </m:ctrlPr>
          </m:sup>
        </m:sSup>
      </m:oMath>
      <w:r>
        <w:rPr>
          <w:rFonts w:ascii="Times New Roman" w:hAnsi="Times New Roman"/>
        </w:rPr>
        <w:t>为融合映射矩阵，</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为偏置；该映射对所有潜在变量和样本共享，随机失活仅在训练阶段启用。</w:t>
      </w:r>
    </w:p>
    <w:p w14:paraId="713E78E8">
      <w:pPr>
        <w:pStyle w:val="5"/>
        <w:rPr>
          <w:rFonts w:ascii="Times New Roman" w:hAnsi="Times New Roman"/>
        </w:rPr>
      </w:pPr>
      <w:r>
        <w:rPr>
          <w:rFonts w:ascii="Times New Roman" w:hAnsi="Times New Roman"/>
        </w:rPr>
        <w:t>9.2变量关系变换器</w:t>
      </w:r>
    </w:p>
    <w:p w14:paraId="04B15CCA">
      <w:pPr>
        <w:ind w:firstLine="440"/>
        <w:rPr>
          <w:rFonts w:ascii="Times New Roman" w:hAnsi="Times New Roman"/>
        </w:rPr>
      </w:pPr>
      <w:r>
        <w:rPr>
          <w:rFonts w:ascii="Times New Roman" w:hAnsi="Times New Roman"/>
        </w:rPr>
        <w:t>将V个融合变量标记组成变量序列，沿变量维执行多头自注意力和前馈变换，使不同潜在变量之间能够交换信息并建立跨变量耦合关系。</w:t>
      </w:r>
    </w:p>
    <w:p w14:paraId="471AE725">
      <w:pPr>
        <w:ind w:firstLine="440"/>
        <w:rPr>
          <w:rFonts w:ascii="Times New Roman" w:hAnsi="Times New Roman"/>
        </w:rPr>
      </w:pPr>
      <w:r>
        <w:rPr>
          <w:rFonts w:ascii="Times New Roman" w:hAnsi="Times New Roman"/>
        </w:rPr>
        <w:t>将全部潜在变量的融合表示组成变量序列，并沿变量维执行变量关系变换器编码，编码结果定义如公式（27）所示：</w:t>
      </w:r>
    </w:p>
    <w:p w14:paraId="23415247">
      <w:pPr>
        <w:jc w:val="center"/>
        <w:rPr>
          <w:rFonts w:ascii="Times New Roman" w:hAnsi="Times New Roman"/>
        </w:rPr>
      </w:pP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Encoder</m:t>
            </m:r>
            <m:ctrlPr>
              <w:rPr>
                <w:rFonts w:ascii="Cambria Math" w:hAnsi="Cambria Math"/>
              </w:rPr>
            </m:ctrlPr>
          </m:e>
          <m:sub>
            <m:r>
              <m:rPr/>
              <w:rPr>
                <w:rFonts w:ascii="Cambria Math" w:hAnsi="Cambria Math"/>
              </w:rPr>
              <m:t>var</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V×d</m:t>
            </m:r>
            <m:ctrlPr>
              <w:rPr>
                <w:rFonts w:ascii="Cambria Math" w:hAnsi="Cambria Math"/>
              </w:rPr>
            </m:ctrlPr>
          </m:sup>
        </m:sSup>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oMath>
      <w:r>
        <w:rPr>
          <w:rFonts w:ascii="Times New Roman" w:hAnsi="Times New Roman"/>
        </w:rPr>
        <w:t>（27）</w:t>
      </w:r>
    </w:p>
    <w:p w14:paraId="3D8BF4F4">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表示变量关系变换器输出的变量编码矩阵，维度为</w:t>
      </w:r>
      <m:oMath>
        <m:r>
          <m:rPr/>
          <w:rPr>
            <w:rFonts w:ascii="Cambria Math" w:hAnsi="Cambria Math"/>
          </w:rPr>
          <m:t>V×d</m:t>
        </m:r>
      </m:oMath>
      <w:r>
        <w:rPr>
          <w:rFonts w:ascii="Times New Roman" w:hAnsi="Times New Roman"/>
        </w:rPr>
        <w:t>；</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表示全部潜在变量的融合表示；</w:t>
      </w:r>
      <m:oMath>
        <m:r>
          <m:rPr/>
          <w:rPr>
            <w:rFonts w:ascii="Cambria Math" w:hAnsi="Cambria Math"/>
          </w:rPr>
          <m:t>Encode</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var</m:t>
            </m:r>
            <m:ctrlPr>
              <w:rPr>
                <w:rFonts w:ascii="Cambria Math" w:hAnsi="Cambria Math"/>
                <w:i/>
              </w:rPr>
            </m:ctrlPr>
          </m:sub>
        </m:sSub>
      </m:oMath>
      <w:r>
        <w:rPr>
          <w:rFonts w:ascii="Times New Roman" w:hAnsi="Times New Roman"/>
        </w:rPr>
        <w:t>表示沿变量维执行自注意力和前馈变换的编码器；</w:t>
      </w:r>
      <m:oMath>
        <m:r>
          <m:rPr/>
          <w:rPr>
            <w:rFonts w:ascii="Cambria Math" w:hAnsi="Cambria Math"/>
          </w:rPr>
          <m:t>LayerNorm</m:t>
        </m:r>
      </m:oMath>
      <w:r>
        <w:rPr>
          <w:rFonts w:ascii="Times New Roman" w:hAnsi="Times New Roman"/>
        </w:rPr>
        <w:t>用于对每个变量编码进行归一化。</w:t>
      </w:r>
    </w:p>
    <w:p w14:paraId="1BFE3DAB">
      <w:pPr>
        <w:pStyle w:val="5"/>
        <w:rPr>
          <w:rFonts w:ascii="Times New Roman" w:hAnsi="Times New Roman"/>
        </w:rPr>
      </w:pPr>
      <w:r>
        <w:rPr>
          <w:rFonts w:ascii="Times New Roman" w:hAnsi="Times New Roman"/>
        </w:rPr>
        <w:t>9.3变量级自适应评分和聚合</w:t>
      </w:r>
    </w:p>
    <w:p w14:paraId="039094BA">
      <w:pPr>
        <w:ind w:firstLine="440"/>
        <w:rPr>
          <w:rFonts w:ascii="Times New Roman" w:hAnsi="Times New Roman"/>
        </w:rPr>
      </w:pPr>
      <w:commentRangeStart w:id="6"/>
      <w:r>
        <w:rPr>
          <w:rFonts w:ascii="Times New Roman" w:hAnsi="Times New Roman"/>
        </w:rPr>
        <w:t>根据变量关系编码结果计算变量评分，并在同一样本的</w:t>
      </w:r>
      <m:oMath>
        <m:r>
          <m:rPr/>
          <w:rPr>
            <w:rFonts w:ascii="Cambria Math" w:hAnsi="Cambria Math"/>
          </w:rPr>
          <m:t>V</m:t>
        </m:r>
      </m:oMath>
      <w:r>
        <w:rPr>
          <w:rFonts w:ascii="Times New Roman" w:hAnsi="Times New Roman"/>
        </w:rPr>
        <w:t>个潜在变量上执行Softmax，从而针对不同电池和退化阶段动态选择寿命敏感变量。</w:t>
      </w:r>
      <w:commentRangeEnd w:id="6"/>
      <w:r>
        <w:commentReference w:id="6"/>
      </w:r>
    </w:p>
    <w:p w14:paraId="3D41039E">
      <w:pPr>
        <w:ind w:firstLine="440"/>
        <w:rPr>
          <w:rFonts w:ascii="Times New Roman" w:hAnsi="Times New Roman"/>
        </w:rPr>
      </w:pPr>
      <w:r>
        <w:rPr>
          <w:rFonts w:ascii="Times New Roman" w:hAnsi="Times New Roman"/>
        </w:rPr>
        <w:t>由变量关系编码结果计算每个潜在变量的样本相关评分，变量评分函数定义如公式（28）所示：</w:t>
      </w:r>
    </w:p>
    <w:p w14:paraId="213CBFCF">
      <w:pPr>
        <w:ind w:firstLine="440"/>
        <w:jc w:val="center"/>
        <w:rPr>
          <w:rFonts w:hint="eastAsia" w:ascii="Times New Roman" w:hAnsi="Times New Roman"/>
        </w:rPr>
      </w:pP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var</m:t>
            </m:r>
            <m:ctrlPr>
              <w:rPr>
                <w:rFonts w:ascii="Cambria Math" w:hAnsi="Cambria Math"/>
                <w:i/>
              </w:rPr>
            </m:ctrlPr>
          </m:sub>
          <m:sup>
            <m:r>
              <m:rPr/>
              <w:rPr>
                <w:rFonts w:ascii="Cambria Math" w:hAnsi="Cambria Math"/>
              </w:rPr>
              <m:t>T</m:t>
            </m:r>
            <m:ctrlPr>
              <w:rPr>
                <w:rFonts w:ascii="Cambria Math" w:hAnsi="Cambria Math"/>
                <w:i/>
              </w:rPr>
            </m:ctrlPr>
          </m:sup>
        </m:sSubSup>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var</m:t>
            </m:r>
            <m:ctrlPr>
              <w:rPr>
                <w:rFonts w:ascii="Cambria Math" w:hAnsi="Cambria Math"/>
                <w:i/>
              </w:rPr>
            </m:ctrlPr>
          </m:sub>
        </m:sSub>
      </m:oMath>
      <w:r>
        <w:rPr>
          <w:rFonts w:hint="eastAsia" w:ascii="Times New Roman" w:hAnsi="Times New Roman"/>
        </w:rPr>
        <w:t xml:space="preserve">    (28)</w:t>
      </w:r>
    </w:p>
    <w:p w14:paraId="1FDFC989">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个样本第</w:t>
      </w:r>
      <m:oMath>
        <m:r>
          <m:rPr/>
          <w:rPr>
            <w:rFonts w:ascii="Cambria Math" w:hAnsi="Cambria Math"/>
          </w:rPr>
          <m:t>v</m:t>
        </m:r>
      </m:oMath>
      <w:r>
        <w:rPr>
          <w:rFonts w:ascii="Times New Roman" w:hAnsi="Times New Roman"/>
        </w:rPr>
        <w:t>个潜在变量的评分；</w:t>
      </w:r>
      <m:oMath>
        <m:sSubSup>
          <m:sSubSupPr>
            <m:ctrlPr>
              <w:rPr>
                <w:rFonts w:ascii="Cambria Math" w:hAnsi="Cambria Math"/>
                <w:i/>
              </w:rPr>
            </m:ctrlPr>
          </m:sSubSupPr>
          <m:e>
            <m:r>
              <m:rPr/>
              <w:rPr>
                <w:rFonts w:ascii="Cambria Math" w:hAnsi="Cambria Math"/>
              </w:rPr>
              <m:t>w</m:t>
            </m:r>
            <m:ctrlPr>
              <w:rPr>
                <w:rFonts w:ascii="Cambria Math" w:hAnsi="Cambria Math"/>
                <w:i/>
              </w:rPr>
            </m:ctrlPr>
          </m:e>
          <m:sub>
            <m:r>
              <m:rPr/>
              <w:rPr>
                <w:rFonts w:ascii="Cambria Math" w:hAnsi="Cambria Math"/>
              </w:rPr>
              <m:t>var</m:t>
            </m:r>
            <m:ctrlPr>
              <w:rPr>
                <w:rFonts w:ascii="Cambria Math" w:hAnsi="Cambria Math"/>
                <w:i/>
              </w:rPr>
            </m:ctrlPr>
          </m:sub>
          <m:sup>
            <m:r>
              <m:rPr/>
              <w:rPr>
                <w:rFonts w:ascii="Cambria Math" w:hAnsi="Cambria Math"/>
              </w:rPr>
              <m:t>T</m:t>
            </m:r>
            <m:ctrlPr>
              <w:rPr>
                <w:rFonts w:ascii="Cambria Math" w:hAnsi="Cambria Math"/>
                <w:i/>
              </w:rPr>
            </m:ctrlPr>
          </m:sup>
        </m:sSubSup>
      </m:oMath>
      <w:r>
        <w:rPr>
          <w:rFonts w:ascii="Times New Roman" w:hAnsi="Times New Roman"/>
        </w:rPr>
        <w:t>表示变量评分向量的转置；</w:t>
      </w:r>
      <m:oMath>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表示变量关系编码结果；</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var</m:t>
            </m:r>
            <m:ctrlPr>
              <w:rPr>
                <w:rFonts w:ascii="Cambria Math" w:hAnsi="Cambria Math"/>
                <w:i/>
              </w:rPr>
            </m:ctrlPr>
          </m:sub>
        </m:sSub>
      </m:oMath>
      <w:r>
        <w:rPr>
          <w:rFonts w:ascii="Times New Roman" w:hAnsi="Times New Roman"/>
        </w:rPr>
        <w:t>表示评分偏置；评分参数在所有样本和变量之间共享。</w:t>
      </w:r>
    </w:p>
    <w:p w14:paraId="67433CDF">
      <w:pPr>
        <w:ind w:firstLine="440"/>
        <w:rPr>
          <w:rFonts w:ascii="Times New Roman" w:hAnsi="Times New Roman"/>
        </w:rPr>
      </w:pPr>
      <w:r>
        <w:rPr>
          <w:rFonts w:ascii="Times New Roman" w:hAnsi="Times New Roman"/>
        </w:rPr>
        <w:t>在同一样本的全部潜在变量上对变量评分执行Softmax归一化，得到变量权重及其归一化约束，定义如公式（29）所示：</w:t>
      </w:r>
    </w:p>
    <w:p w14:paraId="75FB86CB">
      <w:pPr>
        <w:jc w:val="center"/>
        <w:rPr>
          <w:rFonts w:ascii="Times New Roman" w:hAnsi="Times New Roman"/>
        </w:rPr>
      </w:pP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exp</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b,v</m:t>
                    </m:r>
                    <m:ctrlPr>
                      <w:rPr>
                        <w:rFonts w:ascii="Cambria Math" w:hAnsi="Cambria Math"/>
                      </w:rPr>
                    </m:ctrlPr>
                  </m:sub>
                </m:sSub>
                <m:ctrlPr>
                  <w:rPr>
                    <w:rFonts w:ascii="Cambria Math" w:hAnsi="Cambria Math"/>
                  </w:rPr>
                </m:ctrlPr>
              </m:e>
            </m:d>
            <m:ctrlPr>
              <w:rPr>
                <w:rFonts w:ascii="Cambria Math" w:hAnsi="Cambria Math"/>
              </w:rPr>
            </m:ctrlPr>
          </m:num>
          <m:den>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V</m:t>
                </m:r>
                <m:ctrlPr>
                  <w:rPr>
                    <w:rFonts w:ascii="Cambria Math" w:hAnsi="Cambria Math"/>
                  </w:rPr>
                </m:ctrlPr>
              </m:sup>
            </m:sSubSup>
            <m:r>
              <m:rPr/>
              <w:rPr>
                <w:rFonts w:ascii="Cambria Math" w:hAnsi="Cambria Math"/>
              </w:rPr>
              <m:t>exp</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b,k</m:t>
                    </m:r>
                    <m:ctrlPr>
                      <w:rPr>
                        <w:rFonts w:ascii="Cambria Math" w:hAnsi="Cambria Math"/>
                      </w:rPr>
                    </m:ctrlPr>
                  </m:sub>
                </m:sSub>
                <m:ctrlPr>
                  <w:rPr>
                    <w:rFonts w:ascii="Cambria Math" w:hAnsi="Cambria Math"/>
                  </w:rPr>
                </m:ctrlPr>
              </m:e>
            </m:d>
            <m:ctrlPr>
              <w:rPr>
                <w:rFonts w:ascii="Cambria Math" w:hAnsi="Cambria Math"/>
              </w:rPr>
            </m:ctrlPr>
          </m:den>
        </m:f>
        <m:r>
          <m:rPr/>
          <w:rPr>
            <w:rFonts w:ascii="Cambria Math" w:hAnsi="Cambria Math"/>
          </w:rPr>
          <m:t>,</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v=1</m:t>
            </m:r>
            <m:ctrlPr>
              <w:rPr>
                <w:rFonts w:ascii="Cambria Math" w:hAnsi="Cambria Math"/>
              </w:rPr>
            </m:ctrlPr>
          </m:sub>
          <m:sup>
            <m:r>
              <m:rPr/>
              <w:rPr>
                <w:rFonts w:ascii="Cambria Math" w:hAnsi="Cambria Math"/>
              </w:rPr>
              <m:t>V</m:t>
            </m:r>
            <m:ctrlPr>
              <w:rPr>
                <w:rFonts w:ascii="Cambria Math" w:hAnsi="Cambria Math"/>
              </w:rPr>
            </m:ctrlPr>
          </m:sup>
        </m:sSubSup>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b,v</m:t>
            </m:r>
            <m:ctrlPr>
              <w:rPr>
                <w:rFonts w:ascii="Cambria Math" w:hAnsi="Cambria Math"/>
              </w:rPr>
            </m:ctrlPr>
          </m:sub>
        </m:sSub>
        <m:r>
          <m:rPr/>
          <w:rPr>
            <w:rFonts w:ascii="Cambria Math" w:hAnsi="Cambria Math"/>
          </w:rPr>
          <m:t>=1</m:t>
        </m:r>
      </m:oMath>
      <w:r>
        <w:rPr>
          <w:rFonts w:ascii="Times New Roman" w:hAnsi="Times New Roman"/>
        </w:rPr>
        <w:t>（29）</w:t>
      </w:r>
    </w:p>
    <w:p w14:paraId="5359ABEB">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表示变量权重；</w:t>
      </w:r>
      <m:oMath>
        <m:r>
          <m:rPr/>
          <w:rPr>
            <w:rFonts w:ascii="Cambria Math" w:hAnsi="Cambria Math"/>
          </w:rPr>
          <m:t>exp</m:t>
        </m:r>
      </m:oMath>
      <w:r>
        <w:rPr>
          <w:rFonts w:ascii="Times New Roman" w:hAnsi="Times New Roman"/>
        </w:rPr>
        <w:t>表示指数函数；分母对同一样本的</w:t>
      </w:r>
      <m:oMath>
        <m:r>
          <m:rPr/>
          <w:rPr>
            <w:rFonts w:ascii="Cambria Math" w:hAnsi="Cambria Math"/>
          </w:rPr>
          <m:t>V</m:t>
        </m:r>
      </m:oMath>
      <w:r>
        <w:rPr>
          <w:rFonts w:ascii="Times New Roman" w:hAnsi="Times New Roman"/>
        </w:rPr>
        <w:t>个潜在变量评分求和；</w:t>
      </w:r>
      <m:oMath>
        <m:r>
          <m:rPr/>
          <w:rPr>
            <w:rFonts w:ascii="Cambria Math" w:hAnsi="Cambria Math"/>
          </w:rPr>
          <m:t>v</m:t>
        </m:r>
      </m:oMath>
      <w:r>
        <w:rPr>
          <w:rFonts w:ascii="Times New Roman" w:hAnsi="Times New Roman"/>
        </w:rPr>
        <w:t>和</w:t>
      </w:r>
      <m:oMath>
        <m:r>
          <m:rPr/>
          <w:rPr>
            <w:rFonts w:ascii="Cambria Math" w:hAnsi="Cambria Math"/>
          </w:rPr>
          <m:t>k</m:t>
        </m:r>
      </m:oMath>
      <w:r>
        <w:rPr>
          <w:rFonts w:ascii="Times New Roman" w:hAnsi="Times New Roman"/>
        </w:rPr>
        <w:t>均为变量索引；权重满足</w:t>
      </w:r>
      <m:oMath>
        <m:sSubSup>
          <m:sSubSupPr>
            <m:ctrlPr>
              <w:rPr>
                <w:rFonts w:ascii="Cambria Math" w:hAnsi="Cambria Math"/>
                <w:i/>
              </w:rPr>
            </m:ctrlPr>
          </m:sSubSupPr>
          <m:e>
            <m:r>
              <m:rPr/>
              <w:rPr>
                <w:rFonts w:ascii="Cambria Math" w:hAnsi="Cambria Math"/>
              </w:rPr>
              <m:t>Σ</m:t>
            </m:r>
            <m:ctrlPr>
              <w:rPr>
                <w:rFonts w:ascii="Cambria Math" w:hAnsi="Cambria Math"/>
                <w:i/>
              </w:rPr>
            </m:ctrlPr>
          </m:e>
          <m:sub>
            <m:r>
              <m:rPr/>
              <w:rPr>
                <w:rFonts w:ascii="Cambria Math" w:hAnsi="Cambria Math"/>
              </w:rPr>
              <m:t>v=1</m:t>
            </m:r>
            <m:ctrlPr>
              <w:rPr>
                <w:rFonts w:ascii="Cambria Math" w:hAnsi="Cambria Math"/>
                <w:i/>
              </w:rPr>
            </m:ctrlPr>
          </m:sub>
          <m:sup>
            <m:r>
              <m:rPr/>
              <w:rPr>
                <w:rFonts w:ascii="Cambria Math" w:hAnsi="Cambria Math"/>
              </w:rPr>
              <m:t>V</m:t>
            </m:r>
            <m:ctrlPr>
              <w:rPr>
                <w:rFonts w:ascii="Cambria Math" w:hAnsi="Cambria Math"/>
                <w:i/>
              </w:rPr>
            </m:ctrlPr>
          </m:sup>
        </m:sSubSup>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r>
          <m:rPr/>
          <w:rPr>
            <w:rFonts w:ascii="Cambria Math" w:hAnsi="Cambria Math"/>
          </w:rPr>
          <m:t>=1</m:t>
        </m:r>
      </m:oMath>
      <w:r>
        <w:rPr>
          <w:rFonts w:ascii="Times New Roman" w:hAnsi="Times New Roman"/>
        </w:rPr>
        <w:t>。</w:t>
      </w:r>
    </w:p>
    <w:p w14:paraId="32252B31">
      <w:pPr>
        <w:ind w:firstLine="440"/>
        <w:rPr>
          <w:rFonts w:ascii="Times New Roman" w:hAnsi="Times New Roman"/>
        </w:rPr>
      </w:pPr>
      <w:r>
        <w:rPr>
          <w:rFonts w:ascii="Times New Roman" w:hAnsi="Times New Roman"/>
        </w:rPr>
        <w:t>利用变量权重对变量关系编码结果进行加权聚合，得到样本级融合向量，聚合结果定义如公式（30）所示：</w:t>
      </w:r>
    </w:p>
    <w:p w14:paraId="4D6F13E1">
      <w:pPr>
        <w:jc w:val="center"/>
        <w:rPr>
          <w:rFonts w:ascii="Times New Roman" w:hAnsi="Times New Roman"/>
        </w:rPr>
      </w:pPr>
      <m:oMath>
        <m:sSub>
          <m:sSubPr>
            <m:ctrlPr>
              <w:rPr>
                <w:rFonts w:ascii="Cambria Math" w:hAnsi="Cambria Math"/>
              </w:rPr>
            </m:ctrlPr>
          </m:sSubPr>
          <m:e>
            <m:r>
              <m:rPr>
                <m:sty m:val="p"/>
              </m:rPr>
              <w:rPr>
                <w:rFonts w:ascii="Cambria Math" w:hAnsi="Cambria Math"/>
              </w:rPr>
              <m:t>g</m:t>
            </m:r>
            <m:ctrlPr>
              <w:rPr>
                <w:rFonts w:ascii="Cambria Math" w:hAnsi="Cambria Math"/>
              </w:rPr>
            </m:ctrlPr>
          </m:e>
          <m:sub>
            <m:r>
              <m:rPr>
                <m:sty m:val="p"/>
              </m:rPr>
              <w:rPr>
                <w:rFonts w:ascii="Cambria Math" w:hAnsi="Cambria Math"/>
              </w:rPr>
              <m:t>b</m:t>
            </m:r>
            <m:ctrlPr>
              <w:rPr>
                <w:rFonts w:ascii="Cambria Math" w:hAnsi="Cambria Math"/>
              </w:rPr>
            </m:ctrlPr>
          </m:sub>
        </m:sSub>
        <m:r>
          <m:rPr/>
          <w:rPr>
            <w:rFonts w:ascii="Cambria Math" w:hAnsi="Cambria Math"/>
          </w:rPr>
          <m:t>=</m:t>
        </m:r>
        <m:sSubSup>
          <m:sSubSupPr>
            <m:ctrlPr>
              <w:rPr>
                <w:rFonts w:ascii="Cambria Math" w:hAnsi="Cambria Math"/>
              </w:rPr>
            </m:ctrlPr>
          </m:sSubSupPr>
          <m:e>
            <m:r>
              <m:rPr>
                <m:nor/>
                <m:sty m:val="p"/>
              </m:rPr>
              <w:rPr>
                <w:rFonts w:hint="eastAsia" w:ascii="Cambria Math" w:hAnsi="Cambria Math"/>
                <w:b w:val="0"/>
                <w:i w:val="0"/>
              </w:rPr>
              <m:t>Σ</m:t>
            </m:r>
            <m:ctrlPr>
              <w:rPr>
                <w:rFonts w:ascii="Cambria Math" w:hAnsi="Cambria Math"/>
              </w:rPr>
            </m:ctrlPr>
          </m:e>
          <m:sub>
            <m:r>
              <m:rPr>
                <m:nor/>
                <m:sty m:val="p"/>
              </m:rPr>
              <w:rPr>
                <w:rFonts w:ascii="Cambria Math" w:hAnsi="Cambria Math"/>
                <w:b w:val="0"/>
                <w:i w:val="0"/>
              </w:rPr>
              <m:t>v=1</m:t>
            </m:r>
            <m:ctrlPr>
              <w:rPr>
                <w:rFonts w:ascii="Cambria Math" w:hAnsi="Cambria Math"/>
              </w:rPr>
            </m:ctrlPr>
          </m:sub>
          <m:sup>
            <m:r>
              <m:rPr>
                <m:nor/>
                <m:sty m:val="p"/>
              </m:rPr>
              <w:rPr>
                <w:rFonts w:ascii="Cambria Math" w:hAnsi="Cambria Math"/>
                <w:b w:val="0"/>
                <w:i w:val="0"/>
              </w:rPr>
              <m:t>V</m:t>
            </m:r>
            <m:ctrlPr>
              <w:rPr>
                <w:rFonts w:ascii="Cambria Math" w:hAnsi="Cambria Math"/>
              </w:rPr>
            </m:ctrlPr>
          </m:sup>
        </m:sSubSup>
        <m:sSub>
          <m:sSubPr>
            <m:ctrlPr>
              <w:rPr>
                <w:rFonts w:ascii="Cambria Math" w:hAnsi="Cambria Math"/>
              </w:rPr>
            </m:ctrlPr>
          </m:sSubPr>
          <m:e>
            <m:r>
              <m:rPr>
                <m:sty m:val="p"/>
              </m:rPr>
              <w:rPr>
                <w:rFonts w:ascii="Cambria Math" w:hAnsi="Cambria Math"/>
              </w:rPr>
              <m:t>β</m:t>
            </m:r>
            <m:ctrlPr>
              <w:rPr>
                <w:rFonts w:ascii="Cambria Math" w:hAnsi="Cambria Math"/>
              </w:rPr>
            </m:ctrlPr>
          </m:e>
          <m:sub>
            <m:r>
              <m:rPr>
                <m:sty m:val="p"/>
              </m:rPr>
              <w:rPr>
                <w:rFonts w:ascii="Cambria Math" w:hAnsi="Cambria Math"/>
              </w:rPr>
              <m:t>b</m:t>
            </m:r>
            <m:r>
              <m:rPr/>
              <w:rPr>
                <w:rFonts w:ascii="Cambria Math" w:hAnsi="Cambria Math"/>
              </w:rPr>
              <m:t>,</m:t>
            </m:r>
            <m:r>
              <m:rPr>
                <m:sty m:val="p"/>
              </m:rPr>
              <w:rPr>
                <w:rFonts w:ascii="Cambria Math" w:hAnsi="Cambria Math"/>
              </w:rPr>
              <m:t>v</m:t>
            </m:r>
            <m:ctrlPr>
              <w:rPr>
                <w:rFonts w:ascii="Cambria Math" w:hAnsi="Cambria Math"/>
              </w:rPr>
            </m:ctrlPr>
          </m:sub>
        </m:sSub>
        <m:sSub>
          <m:sSubPr>
            <m:ctrlPr>
              <w:rPr>
                <w:rFonts w:ascii="Cambria Math" w:hAnsi="Cambria Math"/>
                <w:i/>
              </w:rPr>
            </m:ctrlPr>
          </m:sSubPr>
          <m:e>
            <m:acc>
              <m:accPr>
                <m:ctrlPr>
                  <w:rPr>
                    <w:rFonts w:ascii="Cambria Math" w:hAnsi="Cambria Math"/>
                  </w:rPr>
                </m:ctrlPr>
              </m:accPr>
              <m:e>
                <m:r>
                  <m:rPr>
                    <m:sty m:val="p"/>
                  </m:rPr>
                  <w:rPr>
                    <w:rFonts w:ascii="Cambria Math" w:hAnsi="Cambria Math"/>
                  </w:rPr>
                  <m:t>G</m:t>
                </m:r>
                <m:ctrlPr>
                  <w:rPr>
                    <w:rFonts w:ascii="Cambria Math" w:hAnsi="Cambria Math"/>
                  </w:rPr>
                </m:ctrlPr>
              </m:e>
            </m:acc>
            <m:ctrlPr>
              <w:rPr>
                <w:rFonts w:ascii="Cambria Math" w:hAnsi="Cambria Math"/>
              </w:rPr>
            </m:ctrlPr>
          </m:e>
          <m:sub>
            <m:r>
              <m:rPr>
                <m:sty m:val="p"/>
              </m:rPr>
              <w:rPr>
                <w:rFonts w:ascii="Cambria Math" w:hAnsi="Cambria Math"/>
              </w:rPr>
              <m:t>b</m:t>
            </m:r>
            <m:r>
              <m:rPr/>
              <w:rPr>
                <w:rFonts w:ascii="Cambria Math" w:hAnsi="Cambria Math"/>
              </w:rPr>
              <m:t>,</m:t>
            </m:r>
            <m:r>
              <m:rPr>
                <m:sty m:val="p"/>
              </m:rPr>
              <w:rPr>
                <w:rFonts w:ascii="Cambria Math" w:hAnsi="Cambria Math"/>
              </w:rPr>
              <m:t>v</m:t>
            </m:r>
            <m:r>
              <m:rPr/>
              <w:rPr>
                <w:rFonts w:ascii="Cambria Math" w:hAnsi="Cambria Math"/>
              </w:rPr>
              <m:t>,:</m:t>
            </m:r>
            <m:ctrlPr>
              <w:rPr>
                <w:rFonts w:ascii="Cambria Math" w:hAnsi="Cambria Math"/>
                <w:i/>
              </w:rPr>
            </m:ctrlPr>
          </m:sub>
        </m:sSub>
        <m:r>
          <m:rPr>
            <m:sty m:val="p"/>
          </m:rPr>
          <w:rPr>
            <w:rFonts w:hint="eastAsia" w:ascii="Cambria Math" w:hAnsi="Cambria Math"/>
          </w:rPr>
          <m:t>∈</m:t>
        </m:r>
        <m:sSup>
          <m:sSupPr>
            <m:ctrlPr>
              <w:rPr>
                <w:rFonts w:ascii="Cambria Math" w:hAnsi="Cambria Math"/>
              </w:rPr>
            </m:ctrlPr>
          </m:sSupPr>
          <m:e>
            <m:r>
              <m:rPr>
                <m:sty m:val="p"/>
              </m:rPr>
              <w:rPr>
                <w:rFonts w:ascii="Cambria Math" w:hAnsi="Cambria Math"/>
              </w:rPr>
              <m:t>R</m:t>
            </m:r>
            <m:ctrlPr>
              <w:rPr>
                <w:rFonts w:ascii="Cambria Math" w:hAnsi="Cambria Math"/>
              </w:rPr>
            </m:ctrlPr>
          </m:e>
          <m:sup>
            <m:r>
              <m:rPr/>
              <w:rPr>
                <w:rFonts w:ascii="Cambria Math" w:hAnsi="Cambria Math"/>
              </w:rPr>
              <m:t>d</m:t>
            </m:r>
            <m:ctrlPr>
              <w:rPr>
                <w:rFonts w:ascii="Cambria Math" w:hAnsi="Cambria Math"/>
              </w:rPr>
            </m:ctrlPr>
          </m:sup>
        </m:sSup>
      </m:oMath>
      <w:r>
        <w:rPr>
          <w:rFonts w:ascii="Times New Roman" w:hAnsi="Times New Roman"/>
        </w:rPr>
        <w:t>（30）</w:t>
      </w:r>
    </w:p>
    <w:p w14:paraId="68FCC3C5">
      <w:pPr>
        <w:ind w:firstLine="440"/>
        <w:rPr>
          <w:rFonts w:ascii="Times New Roman" w:hAnsi="Times New Roman"/>
        </w:rPr>
      </w:pPr>
      <w:r>
        <w:rPr>
          <w:rFonts w:ascii="Times New Roman" w:hAnsi="Times New Roman"/>
        </w:rPr>
        <w:t>其中，</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表示第</w:t>
      </w:r>
      <m:oMath>
        <m:r>
          <m:rPr/>
          <w:rPr>
            <w:rFonts w:ascii="Cambria Math" w:hAnsi="Cambria Math"/>
          </w:rPr>
          <m:t>b</m:t>
        </m:r>
      </m:oMath>
      <w:r>
        <w:rPr>
          <w:rFonts w:ascii="Times New Roman" w:hAnsi="Times New Roman"/>
        </w:rPr>
        <w:t>个样本的样本级融合向量；</w:t>
      </w:r>
      <m:oMath>
        <m:sSub>
          <m:sSubPr>
            <m:ctrlPr>
              <w:rPr>
                <w:rFonts w:ascii="Cambria Math" w:hAnsi="Cambria Math"/>
                <w:i/>
              </w:rPr>
            </m:ctrlPr>
          </m:sSubPr>
          <m:e>
            <m:r>
              <m:rPr/>
              <w:rPr>
                <w:rFonts w:ascii="Cambria Math" w:hAnsi="Cambria Math"/>
              </w:rPr>
              <m:t>β</m:t>
            </m:r>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为公式（29）得到的变量权重；</w:t>
      </w:r>
      <m:oMath>
        <m:sSub>
          <m:sSubPr>
            <m:ctrlPr>
              <w:rPr>
                <w:rFonts w:ascii="Cambria Math" w:hAnsi="Cambria Math"/>
                <w:i/>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i/>
              </w:rPr>
            </m:ctrlPr>
          </m:e>
          <m:sub>
            <m:r>
              <m:rPr/>
              <w:rPr>
                <w:rFonts w:ascii="Cambria Math" w:hAnsi="Cambria Math"/>
              </w:rPr>
              <m:t>b,v,:</m:t>
            </m:r>
            <m:ctrlPr>
              <w:rPr>
                <w:rFonts w:ascii="Cambria Math" w:hAnsi="Cambria Math"/>
                <w:i/>
              </w:rPr>
            </m:ctrlPr>
          </m:sub>
        </m:sSub>
      </m:oMath>
      <w:r>
        <w:rPr>
          <w:rFonts w:ascii="Times New Roman" w:hAnsi="Times New Roman"/>
        </w:rPr>
        <w:t>为变量关系编码结果；</w:t>
      </w:r>
      <m:oMath>
        <m:r>
          <m:rPr/>
          <w:rPr>
            <w:rFonts w:ascii="Cambria Math" w:hAnsi="Cambria Math"/>
          </w:rPr>
          <m:t>V</m:t>
        </m:r>
      </m:oMath>
      <w:r>
        <w:rPr>
          <w:rFonts w:ascii="Times New Roman" w:hAnsi="Times New Roman"/>
        </w:rPr>
        <w:t>表示潜在变量数量；</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rPr>
          <w:rFonts w:ascii="Times New Roman" w:hAnsi="Times New Roman"/>
        </w:rPr>
        <w:t>的维度为</w:t>
      </w:r>
      <m:oMath>
        <m:r>
          <m:rPr/>
          <w:rPr>
            <w:rFonts w:ascii="Cambria Math" w:hAnsi="Cambria Math"/>
          </w:rPr>
          <m:t>d</m:t>
        </m:r>
      </m:oMath>
      <w:r>
        <w:rPr>
          <w:rFonts w:ascii="Times New Roman" w:hAnsi="Times New Roman"/>
        </w:rPr>
        <w:t>。</w:t>
      </w:r>
    </w:p>
    <w:p w14:paraId="395A7B93">
      <w:pPr>
        <w:pStyle w:val="5"/>
        <w:rPr>
          <w:rFonts w:ascii="Times New Roman" w:hAnsi="Times New Roman"/>
        </w:rPr>
      </w:pPr>
      <w:r>
        <w:rPr>
          <w:rFonts w:ascii="Times New Roman" w:hAnsi="Times New Roman"/>
        </w:rPr>
        <w:t>9.4RUL回归和训练目标</w:t>
      </w:r>
    </w:p>
    <w:p w14:paraId="43EF5A39">
      <w:pPr>
        <w:ind w:firstLine="440"/>
        <w:rPr>
          <w:rFonts w:ascii="Times New Roman" w:hAnsi="Times New Roman"/>
        </w:rPr>
      </w:pPr>
      <w:r>
        <w:t>经过变量级自适应评分和聚合后，得到第</w:t>
      </w:r>
      <m:oMath>
        <m:r>
          <m:rPr/>
          <w:rPr>
            <w:rFonts w:ascii="Cambria Math" w:hAnsi="Cambria Math"/>
          </w:rPr>
          <m:t>b</m:t>
        </m:r>
      </m:oMath>
      <w:r>
        <w:t>个样本的样本级融合向量</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b</m:t>
            </m:r>
            <m:ctrlPr>
              <w:rPr>
                <w:rFonts w:ascii="Cambria Math" w:hAnsi="Cambria Math"/>
                <w:i/>
              </w:rPr>
            </m:ctrlPr>
          </m:sub>
        </m:sSub>
      </m:oMath>
      <w:r>
        <w:t>。通过回归头将样本级融合向量映射为一个RUL预测值。所述回归头依次执行层归一化、线性映射、GELU激活、随机失活和输出线性映射，RUL回归关系定义如公式（31）所示：</w:t>
      </w:r>
    </w:p>
    <w:p w14:paraId="3E4F08B4">
      <w:pPr>
        <w:ind w:firstLine="440"/>
        <w:jc w:val="center"/>
        <w:rPr>
          <w:rFonts w:ascii="Times New Roman" w:hAnsi="Times New Roman"/>
        </w:rPr>
      </w:pPr>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i/>
              </w:rPr>
            </m:ctrlPr>
          </m:e>
          <m:sub>
            <m:r>
              <m:rPr/>
              <w:rPr>
                <w:rFonts w:ascii="Cambria Math" w:hAnsi="Cambria Math"/>
              </w:rPr>
              <m:t>2</m:t>
            </m:r>
            <m:ctrlPr>
              <w:rPr>
                <w:rFonts w:ascii="Cambria Math" w:hAnsi="Cambria Math"/>
              </w:rPr>
            </m:ctrlPr>
          </m:sub>
        </m:sSub>
        <m:r>
          <m:rPr>
            <m:sty m:val="p"/>
          </m:rPr>
          <w:rPr>
            <w:rFonts w:ascii="Cambria Math" w:hAnsi="Cambria Math"/>
          </w:rPr>
          <m:t> </m:t>
        </m:r>
        <m:r>
          <m:rPr/>
          <w:rPr>
            <w:rFonts w:ascii="Cambria Math" w:hAnsi="Cambria Math"/>
          </w:rPr>
          <m:t>D</m:t>
        </m:r>
        <m:r>
          <m:rPr>
            <m:sty m:val="p"/>
          </m:rPr>
          <w:rPr>
            <w:rFonts w:ascii="Cambria Math" w:hAnsi="Cambria Math"/>
          </w:rPr>
          <m:t>ropout</m:t>
        </m:r>
        <m:d>
          <m:dPr>
            <m:ctrlPr>
              <w:rPr>
                <w:rFonts w:ascii="Cambria Math" w:hAnsi="Cambria Math"/>
              </w:rPr>
            </m:ctrlPr>
          </m:dPr>
          <m:e>
            <m:r>
              <m:rPr/>
              <w:rPr>
                <w:rFonts w:ascii="Cambria Math" w:hAnsi="Cambria Math"/>
              </w:rPr>
              <m:t>GELU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m:t>
                </m:r>
                <m:r>
                  <m:rPr/>
                  <w:rPr>
                    <w:rFonts w:ascii="Cambria Math" w:hAnsi="Cambria Math"/>
                  </w:rPr>
                  <m:t>LayerNorm</m:t>
                </m:r>
                <m:d>
                  <m:dPr>
                    <m:ctrlPr>
                      <w:rPr>
                        <w:rFonts w:ascii="Cambria Math" w:hAnsi="Cambria Math"/>
                      </w:rPr>
                    </m:ctrlPr>
                  </m:dPr>
                  <m:e>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i/>
                      </w:rPr>
                    </m:ctrlPr>
                  </m:e>
                  <m:sub>
                    <m:r>
                      <m:rPr/>
                      <w:rPr>
                        <w:rFonts w:ascii="Cambria Math" w:hAnsi="Cambria Math"/>
                      </w:rPr>
                      <m:t>1</m:t>
                    </m:r>
                    <m:ctrlPr>
                      <w:rPr>
                        <w:rFonts w:ascii="Cambria Math" w:hAnsi="Cambria Math"/>
                      </w:rPr>
                    </m:ctrlPr>
                  </m:sub>
                </m:sSub>
                <m:ctrlPr>
                  <w:rPr>
                    <w:rFonts w:ascii="Cambria Math" w:hAnsi="Cambria Math"/>
                  </w:rPr>
                </m:ctrlPr>
              </m:e>
            </m:d>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i/>
              </w:rPr>
            </m:ctrlPr>
          </m:e>
          <m:sub>
            <m:r>
              <m:rPr/>
              <w:rPr>
                <w:rFonts w:ascii="Cambria Math" w:hAnsi="Cambria Math"/>
              </w:rPr>
              <m:t>2</m:t>
            </m:r>
            <m:ctrlPr>
              <w:rPr>
                <w:rFonts w:ascii="Cambria Math" w:hAnsi="Cambria Math"/>
              </w:rPr>
            </m:ctrlPr>
          </m:sub>
        </m:sSub>
      </m:oMath>
      <w:r>
        <w:rPr>
          <w:rFonts w:ascii="Times New Roman" w:hAnsi="Times New Roman"/>
        </w:rPr>
        <w:t>（31）</w:t>
      </w:r>
    </w:p>
    <w:p w14:paraId="5735ED66">
      <w:pPr>
        <w:ind w:firstLine="440"/>
        <w:rPr>
          <w:rFonts w:hint="eastAsia" w:ascii="Times New Roman" w:hAnsi="Times New Roman"/>
        </w:rPr>
      </w:pPr>
      <w:r>
        <w:rPr>
          <w:rFonts w:ascii="Times New Roman" w:hAnsi="Times New Roman"/>
        </w:rPr>
        <w:t>其</w:t>
      </w:r>
      <w:r>
        <w:rPr>
          <w:rFonts w:hint="eastAsia" w:ascii="Times New Roman" w:hAnsi="Times New Roman"/>
        </w:rPr>
        <w:t>中，</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个样本预测得到的RUL值；</w:t>
      </w:r>
      <m:oMath>
        <m:sSub>
          <m:sSubPr>
            <m:ctrlPr>
              <w:rPr>
                <w:rFonts w:ascii="Cambria Math" w:hAnsi="Cambria Math"/>
                <w:i/>
              </w:rPr>
            </m:ctrlPr>
          </m:sSubPr>
          <m:e>
            <m:r>
              <m:rPr/>
              <w:rPr>
                <w:rFonts w:hint="eastAsia" w:ascii="Cambria Math" w:hAnsi="Cambria Math"/>
              </w:rPr>
              <m:t>g</m:t>
            </m:r>
            <m:ctrlPr>
              <w:rPr>
                <w:rFonts w:hint="eastAsia" w:ascii="Cambria Math" w:hAnsi="Cambria Math"/>
                <w:i/>
              </w:rPr>
            </m:ctrlPr>
          </m:e>
          <m:sub>
            <m:r>
              <m:rPr/>
              <w:rPr>
                <w:rFonts w:hint="eastAsia" w:ascii="Cambria Math" w:hAnsi="Cambria Math"/>
              </w:rPr>
              <m:t>b</m:t>
            </m:r>
            <m:ctrlPr>
              <w:rPr>
                <w:rFonts w:ascii="Cambria Math" w:hAnsi="Cambria Math"/>
                <w:i/>
              </w:rPr>
            </m:ctrlPr>
          </m:sub>
        </m:sSub>
      </m:oMath>
      <w:r>
        <w:rPr>
          <w:rFonts w:hint="eastAsia" w:ascii="Times New Roman" w:hAnsi="Times New Roman"/>
        </w:rPr>
        <w:t>表示公式（30）得到的第</w:t>
      </w:r>
      <m:oMath>
        <m:r>
          <m:rPr/>
          <w:rPr>
            <w:rFonts w:hint="eastAsia" w:ascii="Cambria Math" w:hAnsi="Cambria Math"/>
          </w:rPr>
          <m:t>b</m:t>
        </m:r>
      </m:oMath>
      <w:r>
        <w:rPr>
          <w:rFonts w:hint="eastAsia" w:ascii="Times New Roman" w:hAnsi="Times New Roman"/>
        </w:rPr>
        <w:t>个样本级融合向量；</w:t>
      </w:r>
      <m:oMath>
        <m:r>
          <m:rPr/>
          <w:rPr>
            <w:rFonts w:hint="eastAsia" w:ascii="Cambria Math" w:hAnsi="Cambria Math"/>
          </w:rPr>
          <m:t>LayerNorm</m:t>
        </m:r>
      </m:oMath>
      <w:r>
        <w:rPr>
          <w:rFonts w:hint="eastAsia" w:ascii="Times New Roman" w:hAnsi="Times New Roman"/>
        </w:rPr>
        <w:t>表示层归一化操作；</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表示回归头第一层线性映射的权重矩阵；</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表示第一层线性映射的偏置向量；</w:t>
      </w:r>
      <m:oMath>
        <m:r>
          <m:rPr/>
          <w:rPr>
            <w:rFonts w:hint="eastAsia" w:ascii="Cambria Math" w:hAnsi="Cambria Math"/>
          </w:rPr>
          <m:t>GELU</m:t>
        </m:r>
      </m:oMath>
      <w:r>
        <w:rPr>
          <w:rFonts w:hint="eastAsia" w:ascii="Times New Roman" w:hAnsi="Times New Roman"/>
        </w:rPr>
        <w:t>表示高斯误差线性单元激活函数；</w:t>
      </w:r>
      <m:oMath>
        <m:r>
          <m:rPr/>
          <w:rPr>
            <w:rFonts w:hint="eastAsia" w:ascii="Cambria Math" w:hAnsi="Cambria Math"/>
          </w:rPr>
          <m:t>Dropout</m:t>
        </m:r>
      </m:oMath>
      <w:r>
        <w:rPr>
          <w:rFonts w:hint="eastAsia" w:ascii="Times New Roman" w:hAnsi="Times New Roman"/>
        </w:rPr>
        <w:t>表示随机失活操作，训练阶段用于降低过拟合风险，推理阶段关闭；</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表示回归头输出层的权重矩阵；</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表示输出层偏置；回归头中的</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eastAsia" w:ascii="Cambria Math" w:hAnsi="Cambria Math"/>
              </w:rPr>
              <m:t>b</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均为可训练参数，并通过训练过程进行更新。</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1</m:t>
            </m:r>
            <m:ctrlPr>
              <w:rPr>
                <w:rFonts w:ascii="Cambria Math" w:hAnsi="Cambria Math"/>
                <w:i/>
              </w:rPr>
            </m:ctrlPr>
          </m:sub>
        </m:sSub>
      </m:oMath>
      <w:r>
        <w:rPr>
          <w:rFonts w:hint="eastAsia" w:ascii="Times New Roman" w:hAnsi="Times New Roman"/>
        </w:rPr>
        <w:t>的输出维度决定回归头中间特征的维度，</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2</m:t>
            </m:r>
            <m:ctrlPr>
              <w:rPr>
                <w:rFonts w:ascii="Cambria Math" w:hAnsi="Cambria Math"/>
                <w:i/>
              </w:rPr>
            </m:ctrlPr>
          </m:sub>
        </m:sSub>
      </m:oMath>
      <w:r>
        <w:rPr>
          <w:rFonts w:hint="eastAsia" w:ascii="Times New Roman" w:hAnsi="Times New Roman"/>
        </w:rPr>
        <w:t>将中间特征映射为一个标量，因此</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为单个样本的RUL预测值。</w:t>
      </w:r>
    </w:p>
    <w:p w14:paraId="697F8B85">
      <w:pPr>
        <w:ind w:firstLine="440"/>
        <w:rPr>
          <w:rFonts w:ascii="Times New Roman" w:hAnsi="Times New Roman"/>
        </w:rPr>
      </w:pPr>
      <w:r>
        <w:rPr>
          <w:rFonts w:hint="eastAsia" w:ascii="Times New Roman" w:hAnsi="Times New Roman"/>
        </w:rPr>
        <w:t>训练阶段以预测RUL与真实RUL标签之间的均方误差作为优化目标，训练损失函数定义如公式（32）所示</w:t>
      </w:r>
      <w:r>
        <w:rPr>
          <w:rFonts w:ascii="Times New Roman" w:hAnsi="Times New Roman"/>
        </w:rPr>
        <w:t>：</w:t>
      </w:r>
    </w:p>
    <w:p w14:paraId="3F3CBA5A">
      <w:pPr>
        <w:ind w:firstLine="440"/>
        <w:jc w:val="center"/>
        <w:rPr>
          <w:rFonts w:ascii="Times New Roman" w:hAnsi="Times New Roman"/>
        </w:rPr>
      </w:pPr>
      <m:oMath>
        <m:sSub>
          <m:sSubPr>
            <m:ctrlPr>
              <w:rPr>
                <w:rFonts w:ascii="Cambria Math" w:hAnsi="Cambria Math"/>
              </w:rPr>
            </m:ctrlPr>
          </m:sSubPr>
          <m:e>
            <m:r>
              <m:rPr/>
              <w:rPr>
                <w:rFonts w:ascii="Cambria Math" w:hAnsi="Cambria Math"/>
              </w:rPr>
              <m:t>L</m:t>
            </m:r>
            <m:ctrlPr>
              <w:rPr>
                <w:rFonts w:ascii="Cambria Math" w:hAnsi="Cambria Math"/>
                <w:i/>
              </w:rPr>
            </m:ctrlPr>
          </m:e>
          <m:sub>
            <m:r>
              <m:rPr/>
              <w:rPr>
                <w:rFonts w:ascii="Cambria Math" w:hAnsi="Cambria Math"/>
              </w:rPr>
              <m:t>MSE</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B</m:t>
            </m:r>
            <m:ctrlPr>
              <w:rPr>
                <w:rFonts w:ascii="Cambria Math" w:hAnsi="Cambria Math"/>
              </w:rPr>
            </m:ctrlPr>
          </m:den>
        </m:f>
        <m:nary>
          <m:naryPr>
            <m:chr m:val="∑"/>
            <m:ctrlPr>
              <w:rPr>
                <w:rFonts w:ascii="Cambria Math" w:hAnsi="Cambria Math"/>
              </w:rPr>
            </m:ctrlPr>
          </m:naryPr>
          <m:sub>
            <m:r>
              <m:rPr/>
              <w:rPr>
                <w:rFonts w:ascii="Cambria Math" w:hAnsi="Cambria Math"/>
              </w:rPr>
              <m:t>b=1</m:t>
            </m:r>
            <m:ctrlPr>
              <w:rPr>
                <w:rFonts w:ascii="Cambria Math" w:hAnsi="Cambria Math"/>
              </w:rPr>
            </m:ctrlPr>
          </m:sub>
          <m:sup>
            <m:r>
              <m:rPr/>
              <w:rPr>
                <w:rFonts w:ascii="Cambria Math" w:hAnsi="Cambria Math"/>
              </w:rPr>
              <m:t>B</m:t>
            </m:r>
            <m:ctrlPr>
              <w:rPr>
                <w:rFonts w:ascii="Cambria Math" w:hAnsi="Cambria Math"/>
              </w:rPr>
            </m:ctrlP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i/>
                          </w:rPr>
                        </m:ctrlPr>
                      </m:e>
                      <m:sub>
                        <m:r>
                          <m:rPr/>
                          <w:rPr>
                            <w:rFonts w:ascii="Cambria Math" w:hAnsi="Cambria Math"/>
                          </w:rPr>
                          <m:t>b</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nary>
      </m:oMath>
      <w:r>
        <w:rPr>
          <w:rFonts w:ascii="Times New Roman" w:hAnsi="Times New Roman"/>
        </w:rPr>
        <w:t>（32）</w:t>
      </w:r>
    </w:p>
    <w:p w14:paraId="1BBC19EE">
      <w:pPr>
        <w:ind w:firstLine="440"/>
        <w:rPr>
          <w:rFonts w:hint="eastAsia" w:ascii="Times New Roman" w:hAnsi="Times New Roman"/>
        </w:rPr>
      </w:pPr>
      <w:r>
        <w:rPr>
          <w:rFonts w:hint="eastAsia" w:ascii="Times New Roman" w:hAnsi="Times New Roman"/>
        </w:rPr>
        <w:t>其中，</w:t>
      </w:r>
      <m:oMath>
        <m:sSub>
          <m:sSubPr>
            <m:ctrlPr>
              <w:rPr>
                <w:rFonts w:ascii="Cambria Math" w:hAnsi="Cambria Math"/>
              </w:rPr>
            </m:ctrlPr>
          </m:sSubPr>
          <m:e>
            <m:r>
              <m:rPr/>
              <w:rPr>
                <w:rFonts w:ascii="Cambria Math" w:hAnsi="Cambria Math"/>
              </w:rPr>
              <m:t>L</m:t>
            </m:r>
            <m:ctrlPr>
              <w:rPr>
                <w:rFonts w:ascii="Cambria Math" w:hAnsi="Cambria Math"/>
                <w:i/>
              </w:rPr>
            </m:ctrlPr>
          </m:e>
          <m:sub>
            <m:r>
              <m:rPr/>
              <w:rPr>
                <w:rFonts w:ascii="Cambria Math" w:hAnsi="Cambria Math"/>
              </w:rPr>
              <m:t>MSE</m:t>
            </m:r>
            <m:ctrlPr>
              <w:rPr>
                <w:rFonts w:ascii="Cambria Math" w:hAnsi="Cambria Math"/>
              </w:rPr>
            </m:ctrlPr>
          </m:sub>
        </m:sSub>
      </m:oMath>
      <w:r>
        <w:rPr>
          <w:rFonts w:hint="eastAsia" w:ascii="Times New Roman" w:hAnsi="Times New Roman"/>
        </w:rPr>
        <w:t>表示一个训练批次的均方误差损失；B表示当前训练批次包含的样本数量；</w:t>
      </w:r>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b</m:t>
            </m:r>
            <m:ctrlPr>
              <w:rPr>
                <w:rFonts w:ascii="Cambria Math" w:hAnsi="Cambria Math"/>
                <w:i/>
              </w:rPr>
            </m:ctrlPr>
          </m:sub>
        </m:sSub>
      </m:oMath>
      <w:r>
        <w:rPr>
          <w:rFonts w:hint="eastAsia" w:ascii="Times New Roman" w:hAnsi="Times New Roman"/>
        </w:rPr>
        <w:t>表示第</w:t>
      </w:r>
      <m:oMath>
        <m:r>
          <m:rPr/>
          <w:rPr>
            <w:rFonts w:hint="eastAsia" w:ascii="Cambria Math" w:hAnsi="Cambria Math"/>
          </w:rPr>
          <m:t>b</m:t>
        </m:r>
      </m:oMath>
      <w:r>
        <w:rPr>
          <w:rFonts w:hint="eastAsia" w:ascii="Times New Roman" w:hAnsi="Times New Roman"/>
        </w:rPr>
        <w:t>个样本的真实RUL标签；</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b</m:t>
            </m:r>
            <m:ctrlPr>
              <w:rPr>
                <w:rFonts w:ascii="Cambria Math" w:hAnsi="Cambria Math"/>
                <w:i/>
              </w:rPr>
            </m:ctrlPr>
          </m:sub>
        </m:sSub>
      </m:oMath>
      <w:r>
        <w:rPr>
          <w:rFonts w:hint="eastAsia" w:ascii="Times New Roman" w:hAnsi="Times New Roman"/>
        </w:rPr>
        <w:t>表示公式（31）得到的RUL预测值；</w:t>
      </w:r>
      <m:oMath>
        <m:r>
          <m:rPr/>
          <w:rPr>
            <w:rFonts w:hint="eastAsia" w:ascii="Cambria Math" w:hAnsi="Cambria Math"/>
          </w:rPr>
          <m:t>b</m:t>
        </m:r>
      </m:oMath>
      <w:r>
        <w:rPr>
          <w:rFonts w:hint="eastAsia" w:ascii="Times New Roman" w:hAnsi="Times New Roman"/>
        </w:rPr>
        <w:t>表示批次内样本索引，取值范围为</w:t>
      </w:r>
      <m:oMath>
        <m:r>
          <m:rPr/>
          <w:rPr>
            <w:rFonts w:hint="eastAsia" w:ascii="Cambria Math" w:hAnsi="Cambria Math"/>
          </w:rPr>
          <m:t>1,2,…,B</m:t>
        </m:r>
      </m:oMath>
      <w:r>
        <w:rPr>
          <w:rFonts w:hint="eastAsia" w:ascii="Times New Roman" w:hAnsi="Times New Roman"/>
        </w:rPr>
        <w:t>。训练过程中，通过最小化</w:t>
      </w:r>
      <m:oMath>
        <m:sSub>
          <m:sSubPr>
            <m:ctrlPr>
              <w:rPr>
                <w:rFonts w:ascii="Cambria Math" w:hAnsi="Cambria Math" w:cs="Cambria Math"/>
                <w:i/>
              </w:rPr>
            </m:ctrlPr>
          </m:sSubPr>
          <m:e>
            <m:r>
              <m:rPr/>
              <w:rPr>
                <w:rFonts w:ascii="Cambria Math" w:hAnsi="Cambria Math"/>
              </w:rPr>
              <m:t>L</m:t>
            </m:r>
            <m:ctrlPr>
              <w:rPr>
                <w:rFonts w:ascii="Cambria Math" w:hAnsi="Cambria Math"/>
                <w:i/>
              </w:rPr>
            </m:ctrlPr>
          </m:e>
          <m:sub>
            <m:r>
              <m:rPr/>
              <w:rPr>
                <w:rFonts w:ascii="Cambria Math" w:hAnsi="Cambria Math" w:cs="Cambria Math"/>
              </w:rPr>
              <m:t>MSE</m:t>
            </m:r>
            <m:ctrlPr>
              <w:rPr>
                <w:rFonts w:ascii="Cambria Math" w:hAnsi="Cambria Math" w:cs="Cambria Math"/>
                <w:i/>
              </w:rPr>
            </m:ctrlPr>
          </m:sub>
        </m:sSub>
      </m:oMath>
      <w:r>
        <w:rPr>
          <w:rFonts w:hint="eastAsia" w:ascii="Times New Roman" w:hAnsi="Times New Roman"/>
        </w:rPr>
        <w:t>计算模型参数的梯度，并利用反向传播同步更新输入投影层、局部片段支路、完整轨迹支路、双支路融合模块、变量关系变换器、变量级自适应聚合模块和RUL回归头中的可训练参数。</w:t>
      </w:r>
    </w:p>
    <w:p w14:paraId="17C5F4C0">
      <w:pPr>
        <w:pStyle w:val="4"/>
        <w:rPr>
          <w:rFonts w:ascii="Times New Roman" w:hAnsi="Times New Roman" w:eastAsia="宋体"/>
        </w:rPr>
      </w:pPr>
      <w:r>
        <w:rPr>
          <w:rFonts w:ascii="Times New Roman" w:hAnsi="Times New Roman" w:eastAsia="宋体"/>
        </w:rPr>
        <w:t>10.训练、推理和评价流程</w:t>
      </w:r>
    </w:p>
    <w:p w14:paraId="01A6E9FF">
      <w:pPr>
        <w:ind w:firstLine="440"/>
        <w:rPr>
          <w:rFonts w:hint="eastAsia" w:ascii="Times New Roman" w:hAnsi="Times New Roman"/>
        </w:rPr>
      </w:pPr>
      <w:commentRangeStart w:id="7"/>
      <w:r>
        <w:rPr>
          <w:rFonts w:hint="eastAsia" w:ascii="Times New Roman" w:hAnsi="Times New Roman"/>
        </w:rPr>
        <w:t>训练阶段，首先按照电池编号划分训练集和测试集，保证同一电池的不同循环窗口不会同时出现在训练集和测试集中，以避免数据泄漏。随后，仅利用训练集确定特征排列规则、归一化参数和标签变换参数，并将相同处理规则应用于测试集。对于每个训练样本，依次执行数据预处理、输入整理、共享潜在变量投影、样本级循环归一化、局部循环片段支路编码、完整变量循环轨迹支路编码、双支路融合、变量关系编码、变量级自适应聚合和RUL回归，得到预测值。以预测值与真实标签之间的均方误差作为训练目标，通过反向传播更新DAFF-Former的全部可训练参数，直至模型收敛或达到预设训练次数。</w:t>
      </w:r>
      <w:commentRangeEnd w:id="7"/>
      <w:r>
        <w:commentReference w:id="7"/>
      </w:r>
    </w:p>
    <w:p w14:paraId="7B6B9388">
      <w:pPr>
        <w:ind w:firstLine="440"/>
        <w:rPr>
          <w:rFonts w:hint="eastAsia" w:ascii="Times New Roman" w:hAnsi="Times New Roman"/>
        </w:rPr>
      </w:pPr>
      <w:r>
        <w:rPr>
          <w:rFonts w:hint="eastAsia" w:ascii="Times New Roman" w:hAnsi="Times New Roman"/>
        </w:rPr>
        <w:t>推理阶段，输入待预测电池的早期循环观测数据，并按照训练阶段确定的特征顺序、归一化参数和标签变换规则进行处理。经过DAFF-Former前向计算得到模型输出后，执行标签逆变换，将预测结果恢复为原始循环数，得到待预测电池的剩余使用寿命。</w:t>
      </w:r>
    </w:p>
    <w:p w14:paraId="6907B593">
      <w:pPr>
        <w:ind w:firstLine="440"/>
        <w:rPr>
          <w:rFonts w:hint="eastAsia" w:ascii="Times New Roman" w:hAnsi="Times New Roman"/>
        </w:rPr>
      </w:pPr>
      <w:r>
        <w:rPr>
          <w:rFonts w:hint="eastAsia" w:ascii="Times New Roman" w:hAnsi="Times New Roman"/>
        </w:rPr>
        <w:t>评价阶段，在测试集上将真实标签和预测结果均恢复至原始循环数空间，并计算均方根误差、平均绝对误差和平均绝对百分比误差。设评价样本总数为</w:t>
      </w:r>
      <m:oMath>
        <m:r>
          <m:rPr/>
          <w:rPr>
            <w:rFonts w:hint="eastAsia" w:ascii="Cambria Math" w:hAnsi="Cambria Math"/>
          </w:rPr>
          <m:t>N</m:t>
        </m:r>
      </m:oMath>
      <w:r>
        <w:rPr>
          <w:rFonts w:hint="eastAsia" w:ascii="Times New Roman" w:hAnsi="Times New Roman"/>
        </w:rPr>
        <w:t>，第</w:t>
      </w:r>
      <m:oMath>
        <m:r>
          <m:rPr/>
          <w:rPr>
            <w:rFonts w:hint="eastAsia" w:ascii="Cambria Math" w:hAnsi="Cambria Math"/>
          </w:rPr>
          <m:t>i</m:t>
        </m:r>
      </m:oMath>
      <w:r>
        <w:rPr>
          <w:rFonts w:hint="eastAsia" w:ascii="Times New Roman" w:hAnsi="Times New Roman"/>
        </w:rPr>
        <w:t>个评价样本的真实RUL为</w:t>
      </w:r>
      <m:oMath>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ascii="Times New Roman" w:hAnsi="Times New Roman"/>
        </w:rPr>
        <w:t>，第</w:t>
      </w:r>
      <m:oMath>
        <m:r>
          <m:rPr/>
          <w:rPr>
            <w:rFonts w:hint="eastAsia" w:ascii="Cambria Math" w:hAnsi="Cambria Math"/>
          </w:rPr>
          <m:t>i</m:t>
        </m:r>
      </m:oMath>
      <w:r>
        <w:rPr>
          <w:rFonts w:hint="eastAsia" w:ascii="Times New Roman" w:hAnsi="Times New Roman"/>
        </w:rPr>
        <w:t>个评价样本的预测RUL为</w:t>
      </w:r>
      <m:oMath>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ascii="Times New Roman" w:hAnsi="Times New Roman"/>
        </w:rPr>
        <w:t>，则均方根误差</w:t>
      </w:r>
      <m:oMath>
        <m:r>
          <m:rPr/>
          <w:rPr>
            <w:rFonts w:hint="eastAsia" w:ascii="Cambria Math" w:hAnsi="Cambria Math"/>
          </w:rPr>
          <m:t>RMSE</m:t>
        </m:r>
      </m:oMath>
      <w:r>
        <w:rPr>
          <w:rFonts w:hint="eastAsia" w:ascii="Times New Roman" w:hAnsi="Times New Roman"/>
        </w:rPr>
        <w:t>定义如公式（33）所示：</w:t>
      </w:r>
    </w:p>
    <w:p w14:paraId="67CDC6CE">
      <w:pPr>
        <w:ind w:firstLine="440"/>
        <w:rPr>
          <w:rFonts w:ascii="Times New Roman" w:hAnsi="Times New Roman"/>
        </w:rPr>
      </w:pPr>
    </w:p>
    <w:p w14:paraId="5C50B715">
      <w:pPr>
        <w:ind w:firstLine="440"/>
        <w:jc w:val="center"/>
        <w:rPr>
          <w:rFonts w:hint="eastAsia" w:ascii="Times New Roman" w:hAnsi="Times New Roman"/>
        </w:rPr>
      </w:pPr>
      <m:oMath>
        <m:r>
          <m:rPr/>
          <w:rPr>
            <w:rFonts w:ascii="Cambria Math" w:hAnsi="Cambria Math"/>
          </w:rPr>
          <m:t>RMSE=</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rPr>
                </m:ctrlPr>
              </m:e>
            </m:nary>
            <m:ctrlPr>
              <w:rPr>
                <w:rFonts w:ascii="Cambria Math" w:hAnsi="Cambria Math"/>
              </w:rPr>
            </m:ctrlPr>
          </m:e>
        </m:rad>
      </m:oMath>
      <w:r>
        <w:rPr>
          <w:rFonts w:hint="eastAsia" w:ascii="Times New Roman" w:hAnsi="Times New Roman"/>
        </w:rPr>
        <w:t xml:space="preserve">  (33)</w:t>
      </w:r>
    </w:p>
    <w:p w14:paraId="6E84B9C2">
      <w:pPr>
        <w:ind w:firstLine="440"/>
        <w:rPr>
          <w:rFonts w:ascii="Times New Roman" w:hAnsi="Times New Roman"/>
        </w:rPr>
      </w:pPr>
    </w:p>
    <w:p w14:paraId="00F43AD3">
      <w:pPr>
        <w:ind w:firstLine="420"/>
        <w:rPr>
          <w:rFonts w:hint="eastAsia" w:ascii="Times New Roman" w:hAnsi="Times New Roman"/>
        </w:rPr>
      </w:pPr>
      <w:r>
        <w:rPr>
          <w:rFonts w:hint="eastAsia" w:ascii="Times New Roman" w:hAnsi="Times New Roman"/>
        </w:rPr>
        <w:t>平均绝对误差</w:t>
      </w:r>
      <m:oMath>
        <m:r>
          <m:rPr/>
          <w:rPr>
            <w:rFonts w:hint="eastAsia" w:ascii="Cambria Math" w:hAnsi="Cambria Math"/>
          </w:rPr>
          <m:t>MAE</m:t>
        </m:r>
      </m:oMath>
      <w:r>
        <w:rPr>
          <w:rFonts w:hint="eastAsia" w:ascii="Times New Roman" w:hAnsi="Times New Roman"/>
        </w:rPr>
        <w:t>用于衡量预测值与真实值之间的平均绝对偏差，其定义如公式（34）所示：</w:t>
      </w:r>
    </w:p>
    <w:p w14:paraId="640A8ABA">
      <w:pPr>
        <w:ind w:firstLine="440"/>
        <w:jc w:val="center"/>
        <w:rPr>
          <w:rFonts w:hint="eastAsia" w:ascii="Times New Roman" w:hAnsi="Times New Roman"/>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rPr>
            </m:ctrlPr>
          </m:e>
        </m:nary>
      </m:oMath>
      <w:r>
        <w:rPr>
          <w:rFonts w:hint="eastAsia" w:ascii="Times New Roman" w:hAnsi="Times New Roman"/>
        </w:rPr>
        <w:t xml:space="preserve">   (34)</w:t>
      </w:r>
    </w:p>
    <w:p w14:paraId="27735245">
      <w:pPr>
        <w:ind w:firstLine="440"/>
        <w:rPr>
          <w:rFonts w:hint="eastAsia" w:ascii="Times New Roman" w:hAnsi="Times New Roman"/>
        </w:rPr>
      </w:pPr>
      <w:r>
        <w:rPr>
          <w:rFonts w:hint="eastAsia" w:ascii="Times New Roman" w:hAnsi="Times New Roman"/>
        </w:rPr>
        <w:t>平均绝对百分比误差</w:t>
      </w:r>
      <m:oMath>
        <m:r>
          <m:rPr/>
          <w:rPr>
            <w:rFonts w:hint="eastAsia" w:ascii="Cambria Math" w:hAnsi="Cambria Math"/>
          </w:rPr>
          <m:t>MAPE</m:t>
        </m:r>
      </m:oMath>
      <w:r>
        <w:rPr>
          <w:rFonts w:hint="eastAsia" w:ascii="Times New Roman" w:hAnsi="Times New Roman"/>
        </w:rPr>
        <w:t>用于衡量预测误差相对于真实RUL的相对大小。为避免真实RUL为零或接近零时出现除零或误差异常放大，在分母中引入正数保护项</w:t>
      </w:r>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hint="eastAsia" w:ascii="Cambria Math" w:hAnsi="Cambria Math"/>
              </w:rPr>
              <m:t>m</m:t>
            </m:r>
            <m:ctrlPr>
              <w:rPr>
                <w:rFonts w:ascii="Cambria Math" w:hAnsi="Cambria Math"/>
                <w:i/>
              </w:rPr>
            </m:ctrlPr>
          </m:sub>
        </m:sSub>
      </m:oMath>
      <w:r>
        <w:rPr>
          <w:rFonts w:hint="eastAsia" w:ascii="Times New Roman" w:hAnsi="Times New Roman"/>
        </w:rPr>
        <w:t>，其定义如公式（35）所示：</w:t>
      </w:r>
    </w:p>
    <w:p w14:paraId="5A4D829A">
      <w:pPr>
        <w:ind w:firstLine="440"/>
        <w:jc w:val="center"/>
        <w:rPr>
          <w:rFonts w:ascii="Times New Roman" w:hAnsi="Times New Roman"/>
        </w:rPr>
      </w:pPr>
      <m:oMath>
        <m:r>
          <m:rPr/>
          <w:rPr>
            <w:rFonts w:ascii="Cambria Math" w:hAnsi="Cambria Math"/>
          </w:rPr>
          <m:t>MAPE=</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N</m:t>
            </m:r>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num>
              <m:den>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m:sty m:val="p"/>
                              </m:rPr>
                              <w:rPr>
                                <w:rFonts w:ascii="Cambria Math" w:hAnsi="Cambria Math"/>
                              </w:rPr>
                              <m:t>ε</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den>
            </m:f>
            <m:ctrlPr>
              <w:rPr>
                <w:rFonts w:ascii="Cambria Math" w:hAnsi="Cambria Math"/>
              </w:rPr>
            </m:ctrlPr>
          </m:e>
        </m:nary>
      </m:oMath>
      <w:r>
        <w:rPr>
          <w:rFonts w:hint="eastAsia" w:ascii="Times New Roman" w:hAnsi="Times New Roman"/>
        </w:rPr>
        <w:t xml:space="preserve">   (35)</w:t>
      </w:r>
    </w:p>
    <w:p w14:paraId="319FDAC4">
      <w:pPr>
        <w:ind w:firstLine="440"/>
        <w:rPr>
          <w:rFonts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eastAsia" w:ascii="Cambria Math" w:hAnsi="Cambria Math"/>
              </w:rPr>
              <m:t>ε</m:t>
            </m:r>
            <m:ctrlPr>
              <w:rPr>
                <w:rFonts w:hint="eastAsia" w:ascii="Cambria Math" w:hAnsi="Cambria Math"/>
                <w:i/>
              </w:rPr>
            </m:ctrlPr>
          </m:e>
          <m:sub>
            <m:r>
              <m:rPr/>
              <w:rPr>
                <w:rFonts w:hint="eastAsia" w:ascii="Cambria Math" w:hAnsi="Cambria Math"/>
              </w:rPr>
              <m:t>m</m:t>
            </m:r>
            <m:ctrlPr>
              <w:rPr>
                <w:rFonts w:ascii="Cambria Math" w:hAnsi="Cambria Math"/>
                <w:i/>
              </w:rPr>
            </m:ctrlPr>
          </m:sub>
        </m:sSub>
      </m:oMath>
      <w:r>
        <w:rPr>
          <w:rFonts w:hint="eastAsia" w:ascii="Times New Roman" w:hAnsi="Times New Roman"/>
        </w:rPr>
        <w:t>表示预设的正数保护项；</w:t>
      </w:r>
      <m:oMath>
        <m:r>
          <m:rPr>
            <m:sty m:val="p"/>
          </m:rPr>
          <w:rPr>
            <w:rFonts w:ascii="Cambria Math" w:hAnsi="Cambria Math"/>
          </w:rPr>
          <m:t>max</m:t>
        </m:r>
      </m:oMath>
      <w:r>
        <w:rPr>
          <w:rFonts w:hint="eastAsia" w:ascii="Times New Roman" w:hAnsi="Times New Roman"/>
        </w:rPr>
        <w:t>表示取两个输入值中的较大值</w:t>
      </w:r>
    </w:p>
    <w:p w14:paraId="4B58F1E3">
      <w:pPr>
        <w:pStyle w:val="4"/>
        <w:rPr>
          <w:rFonts w:ascii="Times New Roman" w:hAnsi="Times New Roman" w:eastAsia="宋体"/>
        </w:rPr>
      </w:pPr>
      <w:r>
        <w:rPr>
          <w:rFonts w:ascii="Times New Roman" w:hAnsi="Times New Roman" w:eastAsia="宋体"/>
        </w:rPr>
        <w:t>1</w:t>
      </w:r>
      <w:r>
        <w:rPr>
          <w:rFonts w:hint="eastAsia" w:ascii="Times New Roman" w:hAnsi="Times New Roman" w:eastAsia="宋体"/>
        </w:rPr>
        <w:t>1</w:t>
      </w:r>
      <w:r>
        <w:rPr>
          <w:rFonts w:ascii="Times New Roman" w:hAnsi="Times New Roman" w:eastAsia="宋体"/>
        </w:rPr>
        <w:t>.具体实施方式</w:t>
      </w:r>
    </w:p>
    <w:p w14:paraId="7C838F5A">
      <w:pPr>
        <w:pStyle w:val="5"/>
        <w:rPr>
          <w:rFonts w:hint="eastAsia"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.1实施例一：CALCE早期放电曲线预测</w:t>
      </w:r>
    </w:p>
    <w:p w14:paraId="4BDE53F9">
      <w:pPr>
        <w:ind w:firstLine="440"/>
        <w:rPr>
          <w:rFonts w:hint="eastAsia" w:ascii="Times New Roman" w:hAnsi="Times New Roman"/>
        </w:rPr>
      </w:pPr>
      <w:r>
        <w:rPr>
          <w:rFonts w:hint="eastAsia" w:ascii="Times New Roman" w:hAnsi="Times New Roman"/>
        </w:rPr>
        <w:t>本实施例采用美国马里兰大学先进生命周期工程中心（CALCE）公开发布的锂离子电池循环寿命数据，该数据集由受控充放电循环试验获得，原始记录包括测试时间、电流、电压、循环编号及相应的充放电过程数据。通过对电流和时间进行积分，可获得各循环的充电容量和放电容量。</w:t>
      </w:r>
    </w:p>
    <w:p w14:paraId="2B485D83">
      <w:pPr>
        <w:ind w:firstLine="440"/>
        <w:rPr>
          <w:rFonts w:hint="eastAsia" w:ascii="Times New Roman" w:hAnsi="Times New Roman"/>
        </w:rPr>
      </w:pPr>
      <w:commentRangeStart w:id="8"/>
      <w:r>
        <w:rPr>
          <w:rFonts w:hint="eastAsia" w:ascii="Times New Roman" w:hAnsi="Times New Roman"/>
        </w:rPr>
        <w:t>本实施例选取CALCE数据集中的CS2系列和CX2系列电池，共13个电池单体。CS2系列电池额定容量为1.1Ah，CX2系列电池额定容量为1.35Ah，电压范围为2.7V至4.2V。对下载的原始数据文件进行解压、合并和时间排序，并依据循环编号划分各个充放电循环；随后剔除容量异常、容量过低或数据不完整的循环，并对保留循环重新编号，形成可用于寿命预测的电池级数据。</w:t>
      </w:r>
      <w:commentRangeEnd w:id="8"/>
      <w:r>
        <w:commentReference w:id="8"/>
      </w:r>
    </w:p>
    <w:p w14:paraId="102AE9BA">
      <w:pPr>
        <w:ind w:firstLine="440"/>
        <w:rPr>
          <w:rFonts w:hint="eastAsia" w:ascii="Times New Roman" w:hAnsi="Times New Roman"/>
        </w:rPr>
      </w:pPr>
      <w:commentRangeStart w:id="9"/>
      <w:r>
        <w:rPr>
          <w:rFonts w:hint="eastAsia" w:ascii="Times New Roman" w:hAnsi="Times New Roman"/>
        </w:rPr>
        <w:t>对于每个电池，取处理后前120个有效循环作为模型输入。每个循环的放电阶段数据被转换为统一长度的放电容量-电压曲线，并进一步构造循环差分特征。本实施例按照电池单体进行训练集和测试集划分，首先按照电池编号排序，再使用随机种子42进行随机打乱，按照7:3的比例划分数据，最终得到9个电池用于训练，4个电池用于测试。训练集用于学习DAFF-Former的模型参数，测试集仅用于评价模型对未参与训练电池的寿命预测能力。</w:t>
      </w:r>
      <w:commentRangeEnd w:id="9"/>
      <w:r>
        <w:commentReference w:id="9"/>
      </w:r>
    </w:p>
    <w:p w14:paraId="4D9EF5B6">
      <w:pPr>
        <w:ind w:firstLine="440"/>
        <w:rPr>
          <w:rFonts w:hint="eastAsia" w:ascii="Times New Roman" w:hAnsi="Times New Roman"/>
        </w:rPr>
      </w:pPr>
      <w:r>
        <w:rPr>
          <w:rFonts w:hint="eastAsia" w:ascii="Times New Roman" w:hAnsi="Times New Roman"/>
        </w:rPr>
        <w:t>寿命终止状态按照放电容量下降至额定容量80%或以下进行确定，并根据寿命终止循环与早期观测位置之间的差值生成RUL标签。RUL不大于100个循环的样本被视为无效样本，不参与训练和测试评价。标签变换参数仅由训练集拟合，测试集使用相同参数进行变换，评价时再将预测结果恢复为原始循环数。</w:t>
      </w:r>
    </w:p>
    <w:p w14:paraId="6645358F">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.2模型参数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5"/>
        <w:gridCol w:w="3255"/>
        <w:gridCol w:w="3254"/>
      </w:tblGrid>
      <w:tr w14:paraId="1EEE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824A51D">
            <w:pPr>
              <w:rPr>
                <w:rFonts w:ascii="Times New Roman" w:hAnsi="Times New Roman"/>
              </w:rPr>
            </w:pPr>
            <w:r>
              <w:rPr>
                <w:rFonts w:ascii="Times New Roman" w:hAnsi="Times New Roman"/>
                <w:b/>
              </w:rPr>
              <w:t>参数</w:t>
            </w:r>
          </w:p>
        </w:tc>
        <w:tc>
          <w:tcPr>
            <w:tcW w:w="3258" w:type="dxa"/>
          </w:tcPr>
          <w:p w14:paraId="00DF0E2C">
            <w:pPr>
              <w:rPr>
                <w:rFonts w:ascii="Times New Roman" w:hAnsi="Times New Roman"/>
              </w:rPr>
            </w:pPr>
            <w:r>
              <w:rPr>
                <w:rFonts w:ascii="Times New Roman" w:hAnsi="Times New Roman"/>
                <w:b/>
              </w:rPr>
              <w:t>实施例一取值</w:t>
            </w:r>
          </w:p>
        </w:tc>
        <w:tc>
          <w:tcPr>
            <w:tcW w:w="3258" w:type="dxa"/>
          </w:tcPr>
          <w:p w14:paraId="082F7026">
            <w:pPr>
              <w:rPr>
                <w:rFonts w:ascii="Times New Roman" w:hAnsi="Times New Roman"/>
              </w:rPr>
            </w:pPr>
            <w:r>
              <w:rPr>
                <w:rFonts w:ascii="Times New Roman" w:hAnsi="Times New Roman"/>
                <w:b/>
              </w:rPr>
              <w:t>含义</w:t>
            </w:r>
          </w:p>
        </w:tc>
      </w:tr>
      <w:tr w14:paraId="198D2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0EF4E98">
            <w:pPr>
              <w:rPr>
                <w:rFonts w:ascii="Times New Roman" w:hAnsi="Times New Roman"/>
              </w:rPr>
            </w:pPr>
            <w:r>
              <w:rPr>
                <w:rFonts w:ascii="Times New Roman" w:hAnsi="Times New Roman"/>
              </w:rPr>
              <w:t>输入通道数</w:t>
            </w:r>
            <m:oMath>
              <m:r>
                <m:rPr/>
                <w:rPr>
                  <w:rFonts w:ascii="Cambria Math" w:hAnsi="Cambria Math"/>
                </w:rPr>
                <m:t>C</m:t>
              </m:r>
            </m:oMath>
          </w:p>
        </w:tc>
        <w:tc>
          <w:tcPr>
            <w:tcW w:w="3258" w:type="dxa"/>
          </w:tcPr>
          <w:p w14:paraId="67A6F6CB">
            <w:pPr>
              <w:rPr>
                <w:rFonts w:ascii="Times New Roman" w:hAnsi="Times New Roman"/>
              </w:rPr>
            </w:pPr>
            <w:r>
              <w:rPr>
                <w:rFonts w:ascii="Times New Roman" w:hAnsi="Times New Roman"/>
              </w:rPr>
              <w:t>1</w:t>
            </w:r>
          </w:p>
        </w:tc>
        <w:tc>
          <w:tcPr>
            <w:tcW w:w="3258" w:type="dxa"/>
          </w:tcPr>
          <w:p w14:paraId="0B56BC94">
            <w:pPr>
              <w:rPr>
                <w:rFonts w:ascii="Times New Roman" w:hAnsi="Times New Roman"/>
              </w:rPr>
            </w:pPr>
            <w:r>
              <w:rPr>
                <w:rFonts w:ascii="Times New Roman" w:hAnsi="Times New Roman"/>
              </w:rPr>
              <w:t>放电容量-电压退化曲线</w:t>
            </w:r>
          </w:p>
        </w:tc>
      </w:tr>
      <w:tr w14:paraId="1730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7471E1E">
            <w:pPr>
              <w:rPr>
                <w:rFonts w:ascii="Times New Roman" w:hAnsi="Times New Roman"/>
              </w:rPr>
            </w:pPr>
            <w:r>
              <w:rPr>
                <w:rFonts w:ascii="Times New Roman" w:hAnsi="Times New Roman"/>
              </w:rPr>
              <w:t>窗口长度</w:t>
            </w:r>
            <m:oMath>
              <m:r>
                <m:rPr/>
                <w:rPr>
                  <w:rFonts w:ascii="Cambria Math" w:hAnsi="Cambria Math"/>
                </w:rPr>
                <m:t>H</m:t>
              </m:r>
            </m:oMath>
          </w:p>
        </w:tc>
        <w:tc>
          <w:tcPr>
            <w:tcW w:w="3258" w:type="dxa"/>
          </w:tcPr>
          <w:p w14:paraId="5E5B4E19">
            <w:pPr>
              <w:rPr>
                <w:rFonts w:ascii="Times New Roman" w:hAnsi="Times New Roman"/>
              </w:rPr>
            </w:pPr>
            <w:r>
              <w:rPr>
                <w:rFonts w:ascii="Times New Roman" w:hAnsi="Times New Roman"/>
              </w:rPr>
              <w:t>120</w:t>
            </w:r>
          </w:p>
        </w:tc>
        <w:tc>
          <w:tcPr>
            <w:tcW w:w="3258" w:type="dxa"/>
          </w:tcPr>
          <w:p w14:paraId="6FCFEFD1">
            <w:pPr>
              <w:rPr>
                <w:rFonts w:ascii="Times New Roman" w:hAnsi="Times New Roman"/>
              </w:rPr>
            </w:pPr>
            <w:r>
              <w:rPr>
                <w:rFonts w:ascii="Times New Roman" w:hAnsi="Times New Roman"/>
              </w:rPr>
              <w:t>早期连续循环数</w:t>
            </w:r>
          </w:p>
        </w:tc>
      </w:tr>
      <w:tr w14:paraId="501D3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CDC5703">
            <w:pPr>
              <w:rPr>
                <w:rFonts w:ascii="Times New Roman" w:hAnsi="Times New Roman"/>
              </w:rPr>
            </w:pPr>
            <w:r>
              <w:rPr>
                <w:rFonts w:ascii="Times New Roman" w:hAnsi="Times New Roman"/>
              </w:rPr>
              <w:t>采样点数</w:t>
            </w:r>
            <m:oMath>
              <m:r>
                <m:rPr/>
                <w:rPr>
                  <w:rFonts w:ascii="Cambria Math" w:hAnsi="Cambria Math"/>
                </w:rPr>
                <m:t>W</m:t>
              </m:r>
            </m:oMath>
          </w:p>
        </w:tc>
        <w:tc>
          <w:tcPr>
            <w:tcW w:w="3258" w:type="dxa"/>
          </w:tcPr>
          <w:p w14:paraId="1C02C863">
            <w:pPr>
              <w:rPr>
                <w:rFonts w:ascii="Times New Roman" w:hAnsi="Times New Roman"/>
              </w:rPr>
            </w:pPr>
            <w:r>
              <w:rPr>
                <w:rFonts w:ascii="Times New Roman" w:hAnsi="Times New Roman"/>
              </w:rPr>
              <w:t>1000</w:t>
            </w:r>
          </w:p>
        </w:tc>
        <w:tc>
          <w:tcPr>
            <w:tcW w:w="3258" w:type="dxa"/>
          </w:tcPr>
          <w:p w14:paraId="31CE3D95">
            <w:pPr>
              <w:rPr>
                <w:rFonts w:ascii="Times New Roman" w:hAnsi="Times New Roman"/>
              </w:rPr>
            </w:pPr>
            <w:r>
              <w:rPr>
                <w:rFonts w:ascii="Times New Roman" w:hAnsi="Times New Roman"/>
              </w:rPr>
              <w:t>每循环统一电压位置数</w:t>
            </w:r>
          </w:p>
        </w:tc>
      </w:tr>
      <w:tr w14:paraId="0213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C17CDE3">
            <w:pPr>
              <w:rPr>
                <w:rFonts w:ascii="Times New Roman" w:hAnsi="Times New Roman"/>
              </w:rPr>
            </w:pPr>
            <w:r>
              <w:rPr>
                <w:rFonts w:ascii="Times New Roman" w:hAnsi="Times New Roman"/>
              </w:rPr>
              <w:t>潜在变量数</w:t>
            </w:r>
            <m:oMath>
              <m:r>
                <m:rPr/>
                <w:rPr>
                  <w:rFonts w:ascii="Cambria Math" w:hAnsi="Cambria Math"/>
                </w:rPr>
                <m:t>V</m:t>
              </m:r>
            </m:oMath>
          </w:p>
        </w:tc>
        <w:tc>
          <w:tcPr>
            <w:tcW w:w="3258" w:type="dxa"/>
          </w:tcPr>
          <w:p w14:paraId="08423BA9">
            <w:pPr>
              <w:rPr>
                <w:rFonts w:ascii="Times New Roman" w:hAnsi="Times New Roman"/>
              </w:rPr>
            </w:pPr>
            <w:r>
              <w:rPr>
                <w:rFonts w:ascii="Times New Roman" w:hAnsi="Times New Roman"/>
              </w:rPr>
              <w:t>64</w:t>
            </w:r>
          </w:p>
        </w:tc>
        <w:tc>
          <w:tcPr>
            <w:tcW w:w="3258" w:type="dxa"/>
          </w:tcPr>
          <w:p w14:paraId="6FF76CBA">
            <w:pPr>
              <w:rPr>
                <w:rFonts w:ascii="Times New Roman" w:hAnsi="Times New Roman"/>
              </w:rPr>
            </w:pPr>
            <w:r>
              <w:rPr>
                <w:rFonts w:ascii="Times New Roman" w:hAnsi="Times New Roman"/>
              </w:rPr>
              <w:t>共享投影输出变量数</w:t>
            </w:r>
          </w:p>
        </w:tc>
      </w:tr>
      <w:tr w14:paraId="7F4C6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FF8454E">
            <w:pPr>
              <w:rPr>
                <w:rFonts w:ascii="Times New Roman" w:hAnsi="Times New Roman"/>
              </w:rPr>
            </w:pPr>
            <w:r>
              <w:rPr>
                <w:rFonts w:ascii="Times New Roman" w:hAnsi="Times New Roman"/>
              </w:rPr>
              <w:t>支路通道数d</w:t>
            </w:r>
          </w:p>
        </w:tc>
        <w:tc>
          <w:tcPr>
            <w:tcW w:w="3258" w:type="dxa"/>
          </w:tcPr>
          <w:p w14:paraId="62878838">
            <w:pPr>
              <w:rPr>
                <w:rFonts w:ascii="Times New Roman" w:hAnsi="Times New Roman"/>
              </w:rPr>
            </w:pPr>
            <w:r>
              <w:rPr>
                <w:rFonts w:ascii="Times New Roman" w:hAnsi="Times New Roman"/>
              </w:rPr>
              <w:t>64</w:t>
            </w:r>
          </w:p>
        </w:tc>
        <w:tc>
          <w:tcPr>
            <w:tcW w:w="3258" w:type="dxa"/>
          </w:tcPr>
          <w:p w14:paraId="0481B6BF">
            <w:pPr>
              <w:rPr>
                <w:rFonts w:ascii="Times New Roman" w:hAnsi="Times New Roman"/>
              </w:rPr>
            </w:pPr>
            <w:r>
              <w:rPr>
                <w:rFonts w:ascii="Times New Roman" w:hAnsi="Times New Roman"/>
              </w:rPr>
              <w:t>两支路及融合表示宽度</w:t>
            </w:r>
          </w:p>
        </w:tc>
      </w:tr>
      <w:tr w14:paraId="7F33E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322B249D">
            <w:pPr>
              <w:rPr>
                <w:rFonts w:ascii="Times New Roman" w:hAnsi="Times New Roman"/>
              </w:rPr>
            </w:pPr>
            <w:r>
              <w:rPr>
                <w:rFonts w:ascii="Times New Roman" w:hAnsi="Times New Roman"/>
              </w:rPr>
              <w:t>片段长度</w:t>
            </w:r>
            <m:oMath>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p</m:t>
                  </m:r>
                  <m:ctrlPr>
                    <w:rPr>
                      <w:rFonts w:ascii="Cambria Math" w:hAnsi="Cambria Math"/>
                    </w:rPr>
                  </m:ctrlPr>
                </m:sub>
              </m:sSub>
            </m:oMath>
          </w:p>
        </w:tc>
        <w:tc>
          <w:tcPr>
            <w:tcW w:w="3258" w:type="dxa"/>
          </w:tcPr>
          <w:p w14:paraId="3C286F7B">
            <w:pPr>
              <w:rPr>
                <w:rFonts w:ascii="Times New Roman" w:hAnsi="Times New Roman"/>
              </w:rPr>
            </w:pPr>
            <w:r>
              <w:rPr>
                <w:rFonts w:ascii="Times New Roman" w:hAnsi="Times New Roman"/>
              </w:rPr>
              <w:t>16</w:t>
            </w:r>
          </w:p>
        </w:tc>
        <w:tc>
          <w:tcPr>
            <w:tcW w:w="3258" w:type="dxa"/>
          </w:tcPr>
          <w:p w14:paraId="7649905B">
            <w:pPr>
              <w:rPr>
                <w:rFonts w:ascii="Times New Roman" w:hAnsi="Times New Roman"/>
              </w:rPr>
            </w:pPr>
            <w:r>
              <w:rPr>
                <w:rFonts w:ascii="Times New Roman" w:hAnsi="Times New Roman"/>
              </w:rPr>
              <w:t>局部片段包含的循环数</w:t>
            </w:r>
          </w:p>
        </w:tc>
      </w:tr>
      <w:tr w14:paraId="76D9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56FF574">
            <w:pPr>
              <w:rPr>
                <w:rFonts w:ascii="Times New Roman" w:hAnsi="Times New Roman"/>
              </w:rPr>
            </w:pPr>
            <w:r>
              <w:rPr>
                <w:rFonts w:ascii="Times New Roman" w:hAnsi="Times New Roman"/>
              </w:rPr>
              <w:t>滑动步长s</w:t>
            </w:r>
          </w:p>
        </w:tc>
        <w:tc>
          <w:tcPr>
            <w:tcW w:w="3258" w:type="dxa"/>
          </w:tcPr>
          <w:p w14:paraId="332826F4">
            <w:pPr>
              <w:rPr>
                <w:rFonts w:ascii="Times New Roman" w:hAnsi="Times New Roman"/>
              </w:rPr>
            </w:pPr>
            <w:r>
              <w:rPr>
                <w:rFonts w:ascii="Times New Roman" w:hAnsi="Times New Roman"/>
              </w:rPr>
              <w:t>8</w:t>
            </w:r>
          </w:p>
        </w:tc>
        <w:tc>
          <w:tcPr>
            <w:tcW w:w="3258" w:type="dxa"/>
          </w:tcPr>
          <w:p w14:paraId="266B20E1">
            <w:pPr>
              <w:rPr>
                <w:rFonts w:ascii="Times New Roman" w:hAnsi="Times New Roman"/>
              </w:rPr>
            </w:pPr>
            <w:r>
              <w:rPr>
                <w:rFonts w:ascii="Times New Roman" w:hAnsi="Times New Roman"/>
              </w:rPr>
              <w:t>相邻片段起点间隔</w:t>
            </w:r>
          </w:p>
        </w:tc>
      </w:tr>
      <w:tr w14:paraId="116C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02D768E5">
            <w:pPr>
              <w:rPr>
                <w:rFonts w:ascii="Times New Roman" w:hAnsi="Times New Roman"/>
              </w:rPr>
            </w:pPr>
            <w:r>
              <w:rPr>
                <w:rFonts w:ascii="Times New Roman" w:hAnsi="Times New Roman"/>
              </w:rPr>
              <w:t>片段数量</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p>
        </w:tc>
        <w:tc>
          <w:tcPr>
            <w:tcW w:w="3258" w:type="dxa"/>
          </w:tcPr>
          <w:p w14:paraId="1CDFBE49">
            <w:pPr>
              <w:rPr>
                <w:rFonts w:ascii="Times New Roman" w:hAnsi="Times New Roman"/>
              </w:rPr>
            </w:pPr>
            <w:r>
              <w:rPr>
                <w:rFonts w:ascii="Times New Roman" w:hAnsi="Times New Roman"/>
              </w:rPr>
              <w:t>15</w:t>
            </w:r>
          </w:p>
        </w:tc>
        <w:tc>
          <w:tcPr>
            <w:tcW w:w="3258" w:type="dxa"/>
          </w:tcPr>
          <w:p w14:paraId="4E93A6A0">
            <w:pPr>
              <w:rPr>
                <w:rFonts w:ascii="Times New Roman" w:hAnsi="Times New Roman"/>
              </w:rPr>
            </w:pPr>
            <w:r>
              <w:rPr>
                <w:rFonts w:ascii="Times New Roman" w:hAnsi="Times New Roman"/>
              </w:rPr>
              <w:t>末端补齐后的片段数</w:t>
            </w:r>
          </w:p>
        </w:tc>
      </w:tr>
      <w:tr w14:paraId="1027D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7D99244D">
            <w:pPr>
              <w:rPr>
                <w:rFonts w:ascii="Times New Roman" w:hAnsi="Times New Roman"/>
              </w:rPr>
            </w:pPr>
            <w:r>
              <w:rPr>
                <w:rFonts w:ascii="Times New Roman" w:hAnsi="Times New Roman"/>
              </w:rPr>
              <w:t>片段嵌入维度</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p>
        </w:tc>
        <w:tc>
          <w:tcPr>
            <w:tcW w:w="3258" w:type="dxa"/>
          </w:tcPr>
          <w:p w14:paraId="7712A8E3">
            <w:pPr>
              <w:rPr>
                <w:rFonts w:ascii="Times New Roman" w:hAnsi="Times New Roman"/>
              </w:rPr>
            </w:pPr>
            <w:r>
              <w:rPr>
                <w:rFonts w:ascii="Times New Roman" w:hAnsi="Times New Roman"/>
              </w:rPr>
              <w:t>64</w:t>
            </w:r>
          </w:p>
        </w:tc>
        <w:tc>
          <w:tcPr>
            <w:tcW w:w="3258" w:type="dxa"/>
          </w:tcPr>
          <w:p w14:paraId="21E603AE">
            <w:pPr>
              <w:rPr>
                <w:rFonts w:ascii="Times New Roman" w:hAnsi="Times New Roman"/>
              </w:rPr>
            </w:pPr>
            <w:r>
              <w:rPr>
                <w:rFonts w:ascii="Times New Roman" w:hAnsi="Times New Roman"/>
              </w:rPr>
              <w:t>片段编码通道数</w:t>
            </w:r>
          </w:p>
        </w:tc>
      </w:tr>
      <w:tr w14:paraId="4E8E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464FB20">
            <w:pPr>
              <w:rPr>
                <w:rFonts w:ascii="Times New Roman" w:hAnsi="Times New Roman"/>
              </w:rPr>
            </w:pPr>
            <w:r>
              <w:rPr>
                <w:rFonts w:ascii="Times New Roman" w:hAnsi="Times New Roman"/>
              </w:rPr>
              <w:t>回归隐藏宽度</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h</m:t>
                  </m:r>
                  <m:ctrlPr>
                    <w:rPr>
                      <w:rFonts w:ascii="Cambria Math" w:hAnsi="Cambria Math"/>
                      <w:i/>
                    </w:rPr>
                  </m:ctrlPr>
                </m:sub>
              </m:sSub>
            </m:oMath>
          </w:p>
        </w:tc>
        <w:tc>
          <w:tcPr>
            <w:tcW w:w="3258" w:type="dxa"/>
          </w:tcPr>
          <w:p w14:paraId="1102E480">
            <w:pPr>
              <w:rPr>
                <w:rFonts w:ascii="Times New Roman" w:hAnsi="Times New Roman"/>
              </w:rPr>
            </w:pPr>
            <w:r>
              <w:rPr>
                <w:rFonts w:ascii="Times New Roman" w:hAnsi="Times New Roman"/>
              </w:rPr>
              <w:t>64</w:t>
            </w:r>
          </w:p>
        </w:tc>
        <w:tc>
          <w:tcPr>
            <w:tcW w:w="3258" w:type="dxa"/>
          </w:tcPr>
          <w:p w14:paraId="3704CF3A">
            <w:pPr>
              <w:rPr>
                <w:rFonts w:ascii="Times New Roman" w:hAnsi="Times New Roman"/>
              </w:rPr>
            </w:pPr>
            <w:r>
              <w:rPr>
                <w:rFonts w:ascii="Times New Roman" w:hAnsi="Times New Roman"/>
              </w:rPr>
              <w:t>回归头中间层宽度</w:t>
            </w:r>
          </w:p>
        </w:tc>
      </w:tr>
      <w:tr w14:paraId="3AE6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55186551">
            <w:pPr>
              <w:rPr>
                <w:rFonts w:ascii="Times New Roman" w:hAnsi="Times New Roman"/>
              </w:rPr>
            </w:pPr>
            <w:r>
              <w:rPr>
                <w:rFonts w:ascii="Times New Roman" w:hAnsi="Times New Roman"/>
              </w:rPr>
              <w:t>注意力头数</w:t>
            </w:r>
          </w:p>
        </w:tc>
        <w:tc>
          <w:tcPr>
            <w:tcW w:w="3258" w:type="dxa"/>
          </w:tcPr>
          <w:p w14:paraId="23F3ADD1">
            <w:pPr>
              <w:rPr>
                <w:rFonts w:ascii="Times New Roman" w:hAnsi="Times New Roman"/>
              </w:rPr>
            </w:pPr>
            <w:r>
              <w:rPr>
                <w:rFonts w:ascii="Times New Roman" w:hAnsi="Times New Roman"/>
              </w:rPr>
              <w:t>4</w:t>
            </w:r>
          </w:p>
        </w:tc>
        <w:tc>
          <w:tcPr>
            <w:tcW w:w="3258" w:type="dxa"/>
          </w:tcPr>
          <w:p w14:paraId="565FF926">
            <w:pPr>
              <w:rPr>
                <w:rFonts w:ascii="Times New Roman" w:hAnsi="Times New Roman"/>
              </w:rPr>
            </w:pPr>
            <w:r>
              <w:rPr>
                <w:rFonts w:ascii="Times New Roman" w:hAnsi="Times New Roman"/>
              </w:rPr>
              <w:t>多头自注意力头数</w:t>
            </w:r>
          </w:p>
        </w:tc>
      </w:tr>
      <w:tr w14:paraId="030D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2856E1B7">
            <w:pPr>
              <w:rPr>
                <w:rFonts w:ascii="Times New Roman" w:hAnsi="Times New Roman"/>
              </w:rPr>
            </w:pPr>
            <w:r>
              <w:rPr>
                <w:rFonts w:ascii="Times New Roman" w:hAnsi="Times New Roman"/>
              </w:rPr>
              <w:t>片段编码层数</w:t>
            </w:r>
          </w:p>
        </w:tc>
        <w:tc>
          <w:tcPr>
            <w:tcW w:w="3258" w:type="dxa"/>
          </w:tcPr>
          <w:p w14:paraId="281DE400">
            <w:pPr>
              <w:rPr>
                <w:rFonts w:ascii="Times New Roman" w:hAnsi="Times New Roman"/>
              </w:rPr>
            </w:pPr>
            <w:r>
              <w:rPr>
                <w:rFonts w:ascii="Times New Roman" w:hAnsi="Times New Roman"/>
              </w:rPr>
              <w:t>2</w:t>
            </w:r>
          </w:p>
        </w:tc>
        <w:tc>
          <w:tcPr>
            <w:tcW w:w="3258" w:type="dxa"/>
          </w:tcPr>
          <w:p w14:paraId="1DC0A886">
            <w:pPr>
              <w:rPr>
                <w:rFonts w:ascii="Times New Roman" w:hAnsi="Times New Roman"/>
              </w:rPr>
            </w:pPr>
            <w:r>
              <w:rPr>
                <w:rFonts w:ascii="Times New Roman" w:hAnsi="Times New Roman"/>
              </w:rPr>
              <w:t>局部片段变换器深度</w:t>
            </w:r>
          </w:p>
        </w:tc>
      </w:tr>
      <w:tr w14:paraId="169EB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43566772">
            <w:pPr>
              <w:rPr>
                <w:rFonts w:ascii="Times New Roman" w:hAnsi="Times New Roman"/>
              </w:rPr>
            </w:pPr>
            <w:r>
              <w:rPr>
                <w:rFonts w:ascii="Times New Roman" w:hAnsi="Times New Roman"/>
              </w:rPr>
              <w:t>变量编码层数</w:t>
            </w:r>
          </w:p>
        </w:tc>
        <w:tc>
          <w:tcPr>
            <w:tcW w:w="3258" w:type="dxa"/>
          </w:tcPr>
          <w:p w14:paraId="64CB5A67">
            <w:pPr>
              <w:rPr>
                <w:rFonts w:ascii="Times New Roman" w:hAnsi="Times New Roman"/>
              </w:rPr>
            </w:pPr>
            <w:r>
              <w:rPr>
                <w:rFonts w:ascii="Times New Roman" w:hAnsi="Times New Roman"/>
              </w:rPr>
              <w:t>2</w:t>
            </w:r>
          </w:p>
        </w:tc>
        <w:tc>
          <w:tcPr>
            <w:tcW w:w="3258" w:type="dxa"/>
          </w:tcPr>
          <w:p w14:paraId="68581807">
            <w:pPr>
              <w:rPr>
                <w:rFonts w:ascii="Times New Roman" w:hAnsi="Times New Roman"/>
              </w:rPr>
            </w:pPr>
            <w:r>
              <w:rPr>
                <w:rFonts w:ascii="Times New Roman" w:hAnsi="Times New Roman"/>
              </w:rPr>
              <w:t>变量关系变换器深度</w:t>
            </w:r>
          </w:p>
        </w:tc>
      </w:tr>
      <w:tr w14:paraId="3594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614563B5">
            <w:pPr>
              <w:rPr>
                <w:rFonts w:ascii="Times New Roman" w:hAnsi="Times New Roman"/>
              </w:rPr>
            </w:pPr>
            <w:r>
              <w:rPr>
                <w:rFonts w:ascii="Times New Roman" w:hAnsi="Times New Roman"/>
              </w:rPr>
              <w:t>前馈层宽度</w:t>
            </w:r>
          </w:p>
        </w:tc>
        <w:tc>
          <w:tcPr>
            <w:tcW w:w="3258" w:type="dxa"/>
          </w:tcPr>
          <w:p w14:paraId="3E0F01C0">
            <w:pPr>
              <w:rPr>
                <w:rFonts w:ascii="Times New Roman" w:hAnsi="Times New Roman"/>
              </w:rPr>
            </w:pPr>
            <w:r>
              <w:rPr>
                <w:rFonts w:ascii="Times New Roman" w:hAnsi="Times New Roman"/>
              </w:rPr>
              <w:t>128</w:t>
            </w:r>
          </w:p>
        </w:tc>
        <w:tc>
          <w:tcPr>
            <w:tcW w:w="3258" w:type="dxa"/>
          </w:tcPr>
          <w:p w14:paraId="60C30B46">
            <w:pPr>
              <w:rPr>
                <w:rFonts w:ascii="Times New Roman" w:hAnsi="Times New Roman"/>
              </w:rPr>
            </w:pPr>
            <w:r>
              <w:rPr>
                <w:rFonts w:ascii="Times New Roman" w:hAnsi="Times New Roman"/>
              </w:rPr>
              <w:t>变换器前馈网络宽度</w:t>
            </w:r>
          </w:p>
        </w:tc>
      </w:tr>
      <w:tr w14:paraId="174BE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8" w:type="dxa"/>
          </w:tcPr>
          <w:p w14:paraId="18FA6D01">
            <w:pPr>
              <w:rPr>
                <w:rFonts w:ascii="Times New Roman" w:hAnsi="Times New Roman"/>
              </w:rPr>
            </w:pPr>
            <w:r>
              <w:rPr>
                <w:rFonts w:ascii="Times New Roman" w:hAnsi="Times New Roman"/>
              </w:rPr>
              <w:t>随机失活率</w:t>
            </w:r>
          </w:p>
        </w:tc>
        <w:tc>
          <w:tcPr>
            <w:tcW w:w="3258" w:type="dxa"/>
          </w:tcPr>
          <w:p w14:paraId="5A348A4A">
            <w:pPr>
              <w:rPr>
                <w:rFonts w:ascii="Times New Roman" w:hAnsi="Times New Roman"/>
              </w:rPr>
            </w:pPr>
            <w:r>
              <w:rPr>
                <w:rFonts w:ascii="Times New Roman" w:hAnsi="Times New Roman"/>
              </w:rPr>
              <w:t>0.1</w:t>
            </w:r>
          </w:p>
        </w:tc>
        <w:tc>
          <w:tcPr>
            <w:tcW w:w="3258" w:type="dxa"/>
          </w:tcPr>
          <w:p w14:paraId="2CAA2B4D">
            <w:pPr>
              <w:rPr>
                <w:rFonts w:ascii="Times New Roman" w:hAnsi="Times New Roman"/>
              </w:rPr>
            </w:pPr>
            <w:r>
              <w:rPr>
                <w:rFonts w:ascii="Times New Roman" w:hAnsi="Times New Roman"/>
              </w:rPr>
              <w:t>编码器和融合模块失活率</w:t>
            </w:r>
          </w:p>
        </w:tc>
      </w:tr>
    </w:tbl>
    <w:p w14:paraId="566E8144">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.3前向张量尺寸</w:t>
      </w:r>
    </w:p>
    <w:p w14:paraId="6861E3B8">
      <w:pPr>
        <w:ind w:firstLine="440"/>
        <w:rPr>
          <w:rFonts w:ascii="Times New Roman" w:hAnsi="Times New Roman"/>
        </w:rPr>
      </w:pPr>
      <w:r>
        <w:rPr>
          <w:rFonts w:ascii="Times New Roman" w:hAnsi="Times New Roman"/>
        </w:rPr>
        <w:t>实施例一的批量大小为B=128。输入[B,1,120,1000]经循环特征整理为[B,120,1000]，共享投影后为[B,120,64]；按潜在变量优先组织为[B,64,120]，末端补齐并切分为[B,64,15,16]。片段嵌入后为[B,64,15,64]，片段编码和片段级加权聚合后为[B,64,64]；完整轨迹支路输出[B,64,64]。两路按变量索引拼接为[B,64,128]，融合和变量关系编码保持[B,64,64]，变量级加权聚合为[B,64]，回归头输出[B]。</w:t>
      </w:r>
    </w:p>
    <w:p w14:paraId="0E69F7C4">
      <w:pPr>
        <w:pStyle w:val="5"/>
        <w:rPr>
          <w:rFonts w:ascii="Times New Roman" w:hAnsi="Times New Roman"/>
        </w:rPr>
      </w:pPr>
      <w:r>
        <w:rPr>
          <w:rFonts w:ascii="Times New Roman" w:hAnsi="Times New Roman"/>
        </w:rPr>
        <w:t>1</w:t>
      </w:r>
      <w:r>
        <w:rPr>
          <w:rFonts w:hint="eastAsia" w:ascii="Times New Roman" w:hAnsi="Times New Roman"/>
        </w:rPr>
        <w:t>1</w:t>
      </w:r>
      <w:r>
        <w:rPr>
          <w:rFonts w:ascii="Times New Roman" w:hAnsi="Times New Roman"/>
        </w:rPr>
        <w:t>.4训练与评价</w:t>
      </w:r>
    </w:p>
    <w:p w14:paraId="1252DF97">
      <w:pPr>
        <w:ind w:firstLine="440"/>
        <w:rPr>
          <w:rFonts w:ascii="Times New Roman" w:hAnsi="Times New Roman"/>
        </w:rPr>
      </w:pPr>
      <w:commentRangeStart w:id="10"/>
      <w:r>
        <w:rPr>
          <w:rFonts w:ascii="Times New Roman" w:hAnsi="Times New Roman"/>
        </w:rPr>
        <w:t>实施例一按照电池维度执行7:3随机训练测试划分，划分随机种子为42，训练随机种子为0。采用Adam优化器，批量大小为128，初始学习率为0.001，训练1000轮，每100轮在测试集上评价一次并保存测试RMSE最优模型。评价指标在逆变换后的原始循环数空间计算。</w:t>
      </w:r>
      <w:commentRangeEnd w:id="10"/>
      <w:r>
        <w:commentReference w:id="10"/>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1"/>
        <w:gridCol w:w="2441"/>
        <w:gridCol w:w="2441"/>
        <w:gridCol w:w="2441"/>
      </w:tblGrid>
      <w:tr w14:paraId="34CC9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10585EFA">
            <w:pPr>
              <w:rPr>
                <w:rFonts w:ascii="Times New Roman" w:hAnsi="Times New Roman"/>
              </w:rPr>
            </w:pPr>
            <w:r>
              <w:rPr>
                <w:rFonts w:ascii="Times New Roman" w:hAnsi="Times New Roman"/>
                <w:b/>
              </w:rPr>
              <w:t>模型</w:t>
            </w:r>
          </w:p>
        </w:tc>
        <w:tc>
          <w:tcPr>
            <w:tcW w:w="2443" w:type="dxa"/>
          </w:tcPr>
          <w:p w14:paraId="29405C5C">
            <w:pPr>
              <w:rPr>
                <w:rFonts w:ascii="Times New Roman" w:hAnsi="Times New Roman"/>
              </w:rPr>
            </w:pPr>
            <w:r>
              <w:rPr>
                <w:rFonts w:ascii="Times New Roman" w:hAnsi="Times New Roman"/>
                <w:b/>
              </w:rPr>
              <w:t>RMSE</w:t>
            </w:r>
          </w:p>
        </w:tc>
        <w:tc>
          <w:tcPr>
            <w:tcW w:w="2443" w:type="dxa"/>
          </w:tcPr>
          <w:p w14:paraId="25241076">
            <w:pPr>
              <w:rPr>
                <w:rFonts w:ascii="Times New Roman" w:hAnsi="Times New Roman"/>
              </w:rPr>
            </w:pPr>
            <w:r>
              <w:rPr>
                <w:rFonts w:ascii="Times New Roman" w:hAnsi="Times New Roman"/>
                <w:b/>
              </w:rPr>
              <w:t>MAE</w:t>
            </w:r>
          </w:p>
        </w:tc>
        <w:tc>
          <w:tcPr>
            <w:tcW w:w="2443" w:type="dxa"/>
          </w:tcPr>
          <w:p w14:paraId="73984CF1">
            <w:pPr>
              <w:rPr>
                <w:rFonts w:ascii="Times New Roman" w:hAnsi="Times New Roman"/>
              </w:rPr>
            </w:pPr>
            <w:r>
              <w:rPr>
                <w:rFonts w:ascii="Times New Roman" w:hAnsi="Times New Roman"/>
                <w:b/>
              </w:rPr>
              <w:t>MAPE</w:t>
            </w:r>
          </w:p>
        </w:tc>
      </w:tr>
      <w:tr w14:paraId="1AB6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28CBE33B">
            <w:pPr>
              <w:rPr>
                <w:rFonts w:ascii="Times New Roman" w:hAnsi="Times New Roman"/>
              </w:rPr>
            </w:pPr>
            <w:r>
              <w:rPr>
                <w:rFonts w:ascii="Times New Roman" w:hAnsi="Times New Roman"/>
              </w:rPr>
              <w:t>Ridge</w:t>
            </w:r>
          </w:p>
        </w:tc>
        <w:tc>
          <w:tcPr>
            <w:tcW w:w="2443" w:type="dxa"/>
          </w:tcPr>
          <w:p w14:paraId="30D90F2C">
            <w:pPr>
              <w:rPr>
                <w:rFonts w:ascii="Times New Roman" w:hAnsi="Times New Roman"/>
              </w:rPr>
            </w:pPr>
            <w:r>
              <w:rPr>
                <w:rFonts w:ascii="Times New Roman" w:hAnsi="Times New Roman"/>
              </w:rPr>
              <w:t>145.512532</w:t>
            </w:r>
          </w:p>
        </w:tc>
        <w:tc>
          <w:tcPr>
            <w:tcW w:w="2443" w:type="dxa"/>
          </w:tcPr>
          <w:p w14:paraId="1227E26E">
            <w:pPr>
              <w:rPr>
                <w:rFonts w:ascii="Times New Roman" w:hAnsi="Times New Roman"/>
              </w:rPr>
            </w:pPr>
            <w:r>
              <w:rPr>
                <w:rFonts w:ascii="Times New Roman" w:hAnsi="Times New Roman"/>
              </w:rPr>
              <w:t>88.899729</w:t>
            </w:r>
          </w:p>
        </w:tc>
        <w:tc>
          <w:tcPr>
            <w:tcW w:w="2443" w:type="dxa"/>
          </w:tcPr>
          <w:p w14:paraId="1F264877">
            <w:pPr>
              <w:rPr>
                <w:rFonts w:ascii="Times New Roman" w:hAnsi="Times New Roman"/>
              </w:rPr>
            </w:pPr>
            <w:r>
              <w:rPr>
                <w:rFonts w:ascii="Times New Roman" w:hAnsi="Times New Roman"/>
              </w:rPr>
              <w:t>0.186232</w:t>
            </w:r>
          </w:p>
        </w:tc>
      </w:tr>
      <w:tr w14:paraId="67A6B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7018853B">
            <w:pPr>
              <w:rPr>
                <w:rFonts w:ascii="Times New Roman" w:hAnsi="Times New Roman"/>
              </w:rPr>
            </w:pPr>
            <w:r>
              <w:rPr>
                <w:rFonts w:ascii="Times New Roman" w:hAnsi="Times New Roman"/>
              </w:rPr>
              <w:t>PCR</w:t>
            </w:r>
          </w:p>
        </w:tc>
        <w:tc>
          <w:tcPr>
            <w:tcW w:w="2443" w:type="dxa"/>
          </w:tcPr>
          <w:p w14:paraId="77BC1826">
            <w:pPr>
              <w:rPr>
                <w:rFonts w:ascii="Times New Roman" w:hAnsi="Times New Roman"/>
              </w:rPr>
            </w:pPr>
            <w:r>
              <w:rPr>
                <w:rFonts w:ascii="Times New Roman" w:hAnsi="Times New Roman"/>
              </w:rPr>
              <w:t>150.903747</w:t>
            </w:r>
          </w:p>
        </w:tc>
        <w:tc>
          <w:tcPr>
            <w:tcW w:w="2443" w:type="dxa"/>
          </w:tcPr>
          <w:p w14:paraId="05F7636B">
            <w:pPr>
              <w:rPr>
                <w:rFonts w:ascii="Times New Roman" w:hAnsi="Times New Roman"/>
              </w:rPr>
            </w:pPr>
            <w:r>
              <w:rPr>
                <w:rFonts w:ascii="Times New Roman" w:hAnsi="Times New Roman"/>
              </w:rPr>
              <w:t>87.395630</w:t>
            </w:r>
          </w:p>
        </w:tc>
        <w:tc>
          <w:tcPr>
            <w:tcW w:w="2443" w:type="dxa"/>
          </w:tcPr>
          <w:p w14:paraId="7EADABDA">
            <w:pPr>
              <w:rPr>
                <w:rFonts w:ascii="Times New Roman" w:hAnsi="Times New Roman"/>
              </w:rPr>
            </w:pPr>
            <w:r>
              <w:rPr>
                <w:rFonts w:ascii="Times New Roman" w:hAnsi="Times New Roman"/>
              </w:rPr>
              <w:t>0.183214</w:t>
            </w:r>
          </w:p>
        </w:tc>
      </w:tr>
      <w:tr w14:paraId="4257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0284B5D7">
            <w:pPr>
              <w:rPr>
                <w:rFonts w:ascii="Times New Roman" w:hAnsi="Times New Roman"/>
              </w:rPr>
            </w:pPr>
            <w:r>
              <w:rPr>
                <w:rFonts w:ascii="Times New Roman" w:hAnsi="Times New Roman"/>
              </w:rPr>
              <w:t>PLSR</w:t>
            </w:r>
          </w:p>
        </w:tc>
        <w:tc>
          <w:tcPr>
            <w:tcW w:w="2443" w:type="dxa"/>
          </w:tcPr>
          <w:p w14:paraId="3840AFCE">
            <w:pPr>
              <w:rPr>
                <w:rFonts w:ascii="Times New Roman" w:hAnsi="Times New Roman"/>
              </w:rPr>
            </w:pPr>
            <w:r>
              <w:rPr>
                <w:rFonts w:ascii="Times New Roman" w:hAnsi="Times New Roman"/>
              </w:rPr>
              <w:t>150.903747</w:t>
            </w:r>
          </w:p>
        </w:tc>
        <w:tc>
          <w:tcPr>
            <w:tcW w:w="2443" w:type="dxa"/>
          </w:tcPr>
          <w:p w14:paraId="24A53C3E">
            <w:pPr>
              <w:rPr>
                <w:rFonts w:ascii="Times New Roman" w:hAnsi="Times New Roman"/>
              </w:rPr>
            </w:pPr>
            <w:r>
              <w:rPr>
                <w:rFonts w:ascii="Times New Roman" w:hAnsi="Times New Roman"/>
              </w:rPr>
              <w:t>87.395630</w:t>
            </w:r>
          </w:p>
        </w:tc>
        <w:tc>
          <w:tcPr>
            <w:tcW w:w="2443" w:type="dxa"/>
          </w:tcPr>
          <w:p w14:paraId="7204EF29">
            <w:pPr>
              <w:rPr>
                <w:rFonts w:ascii="Times New Roman" w:hAnsi="Times New Roman"/>
              </w:rPr>
            </w:pPr>
            <w:r>
              <w:rPr>
                <w:rFonts w:ascii="Times New Roman" w:hAnsi="Times New Roman"/>
              </w:rPr>
              <w:t>0.183214</w:t>
            </w:r>
          </w:p>
        </w:tc>
      </w:tr>
      <w:tr w14:paraId="29E0B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432650CB">
            <w:pPr>
              <w:rPr>
                <w:rFonts w:ascii="Times New Roman" w:hAnsi="Times New Roman"/>
              </w:rPr>
            </w:pPr>
            <w:r>
              <w:rPr>
                <w:rFonts w:ascii="Times New Roman" w:hAnsi="Times New Roman"/>
              </w:rPr>
              <w:t>CNN</w:t>
            </w:r>
          </w:p>
        </w:tc>
        <w:tc>
          <w:tcPr>
            <w:tcW w:w="2443" w:type="dxa"/>
          </w:tcPr>
          <w:p w14:paraId="2FF651EA">
            <w:pPr>
              <w:rPr>
                <w:rFonts w:ascii="Times New Roman" w:hAnsi="Times New Roman"/>
              </w:rPr>
            </w:pPr>
            <w:r>
              <w:rPr>
                <w:rFonts w:ascii="Times New Roman" w:hAnsi="Times New Roman"/>
              </w:rPr>
              <w:t>175.352280</w:t>
            </w:r>
          </w:p>
        </w:tc>
        <w:tc>
          <w:tcPr>
            <w:tcW w:w="2443" w:type="dxa"/>
          </w:tcPr>
          <w:p w14:paraId="17B15381">
            <w:pPr>
              <w:rPr>
                <w:rFonts w:ascii="Times New Roman" w:hAnsi="Times New Roman"/>
              </w:rPr>
            </w:pPr>
            <w:r>
              <w:rPr>
                <w:rFonts w:ascii="Times New Roman" w:hAnsi="Times New Roman"/>
              </w:rPr>
              <w:t>142.604294</w:t>
            </w:r>
          </w:p>
        </w:tc>
        <w:tc>
          <w:tcPr>
            <w:tcW w:w="2443" w:type="dxa"/>
          </w:tcPr>
          <w:p w14:paraId="08DD3902">
            <w:pPr>
              <w:rPr>
                <w:rFonts w:ascii="Times New Roman" w:hAnsi="Times New Roman"/>
              </w:rPr>
            </w:pPr>
            <w:r>
              <w:rPr>
                <w:rFonts w:ascii="Times New Roman" w:hAnsi="Times New Roman"/>
              </w:rPr>
              <w:t>0.303486</w:t>
            </w:r>
          </w:p>
        </w:tc>
      </w:tr>
      <w:tr w14:paraId="318B2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2DD64F14">
            <w:pPr>
              <w:rPr>
                <w:rFonts w:ascii="Times New Roman" w:hAnsi="Times New Roman"/>
              </w:rPr>
            </w:pPr>
            <w:r>
              <w:rPr>
                <w:rFonts w:ascii="Times New Roman" w:hAnsi="Times New Roman"/>
              </w:rPr>
              <w:t>MLP</w:t>
            </w:r>
          </w:p>
        </w:tc>
        <w:tc>
          <w:tcPr>
            <w:tcW w:w="2443" w:type="dxa"/>
          </w:tcPr>
          <w:p w14:paraId="11A48A76">
            <w:pPr>
              <w:rPr>
                <w:rFonts w:ascii="Times New Roman" w:hAnsi="Times New Roman"/>
              </w:rPr>
            </w:pPr>
            <w:r>
              <w:rPr>
                <w:rFonts w:ascii="Times New Roman" w:hAnsi="Times New Roman"/>
              </w:rPr>
              <w:t>214.580673</w:t>
            </w:r>
          </w:p>
        </w:tc>
        <w:tc>
          <w:tcPr>
            <w:tcW w:w="2443" w:type="dxa"/>
          </w:tcPr>
          <w:p w14:paraId="70607C53">
            <w:pPr>
              <w:rPr>
                <w:rFonts w:ascii="Times New Roman" w:hAnsi="Times New Roman"/>
              </w:rPr>
            </w:pPr>
            <w:r>
              <w:rPr>
                <w:rFonts w:ascii="Times New Roman" w:hAnsi="Times New Roman"/>
              </w:rPr>
              <w:t>170.836594</w:t>
            </w:r>
          </w:p>
        </w:tc>
        <w:tc>
          <w:tcPr>
            <w:tcW w:w="2443" w:type="dxa"/>
          </w:tcPr>
          <w:p w14:paraId="408E637B">
            <w:pPr>
              <w:rPr>
                <w:rFonts w:ascii="Times New Roman" w:hAnsi="Times New Roman"/>
              </w:rPr>
            </w:pPr>
            <w:r>
              <w:rPr>
                <w:rFonts w:ascii="Times New Roman" w:hAnsi="Times New Roman"/>
              </w:rPr>
              <w:t>0.363692</w:t>
            </w:r>
          </w:p>
        </w:tc>
      </w:tr>
      <w:tr w14:paraId="078B2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4319EB7E">
            <w:pPr>
              <w:rPr>
                <w:rFonts w:ascii="Times New Roman" w:hAnsi="Times New Roman"/>
              </w:rPr>
            </w:pPr>
            <w:r>
              <w:rPr>
                <w:rFonts w:ascii="Times New Roman" w:hAnsi="Times New Roman"/>
              </w:rPr>
              <w:t>LSTM</w:t>
            </w:r>
          </w:p>
        </w:tc>
        <w:tc>
          <w:tcPr>
            <w:tcW w:w="2443" w:type="dxa"/>
          </w:tcPr>
          <w:p w14:paraId="546C27F3">
            <w:pPr>
              <w:rPr>
                <w:rFonts w:ascii="Times New Roman" w:hAnsi="Times New Roman"/>
              </w:rPr>
            </w:pPr>
            <w:r>
              <w:rPr>
                <w:rFonts w:ascii="Times New Roman" w:hAnsi="Times New Roman"/>
              </w:rPr>
              <w:t>150.094604</w:t>
            </w:r>
          </w:p>
        </w:tc>
        <w:tc>
          <w:tcPr>
            <w:tcW w:w="2443" w:type="dxa"/>
          </w:tcPr>
          <w:p w14:paraId="544573B0">
            <w:pPr>
              <w:rPr>
                <w:rFonts w:ascii="Times New Roman" w:hAnsi="Times New Roman"/>
              </w:rPr>
            </w:pPr>
            <w:r>
              <w:rPr>
                <w:rFonts w:ascii="Times New Roman" w:hAnsi="Times New Roman"/>
              </w:rPr>
              <w:t>114.960953</w:t>
            </w:r>
          </w:p>
        </w:tc>
        <w:tc>
          <w:tcPr>
            <w:tcW w:w="2443" w:type="dxa"/>
          </w:tcPr>
          <w:p w14:paraId="0773FBAF">
            <w:pPr>
              <w:rPr>
                <w:rFonts w:ascii="Times New Roman" w:hAnsi="Times New Roman"/>
              </w:rPr>
            </w:pPr>
            <w:r>
              <w:rPr>
                <w:rFonts w:ascii="Times New Roman" w:hAnsi="Times New Roman"/>
              </w:rPr>
              <w:t>0.246146</w:t>
            </w:r>
          </w:p>
        </w:tc>
      </w:tr>
      <w:tr w14:paraId="7261F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3" w:type="dxa"/>
          </w:tcPr>
          <w:p w14:paraId="0140F38F">
            <w:pPr>
              <w:rPr>
                <w:rFonts w:ascii="Times New Roman" w:hAnsi="Times New Roman"/>
              </w:rPr>
            </w:pPr>
            <w:r>
              <w:rPr>
                <w:rFonts w:ascii="Times New Roman" w:hAnsi="Times New Roman"/>
              </w:rPr>
              <w:t>DAFF-Former</w:t>
            </w:r>
          </w:p>
        </w:tc>
        <w:tc>
          <w:tcPr>
            <w:tcW w:w="2443" w:type="dxa"/>
          </w:tcPr>
          <w:p w14:paraId="33CC69B3">
            <w:pPr>
              <w:rPr>
                <w:rFonts w:ascii="Times New Roman" w:hAnsi="Times New Roman"/>
              </w:rPr>
            </w:pPr>
            <w:r>
              <w:rPr>
                <w:rFonts w:ascii="Times New Roman" w:hAnsi="Times New Roman"/>
              </w:rPr>
              <w:t>95.339478</w:t>
            </w:r>
          </w:p>
        </w:tc>
        <w:tc>
          <w:tcPr>
            <w:tcW w:w="2443" w:type="dxa"/>
          </w:tcPr>
          <w:p w14:paraId="43FFCD12">
            <w:pPr>
              <w:rPr>
                <w:rFonts w:ascii="Times New Roman" w:hAnsi="Times New Roman"/>
              </w:rPr>
            </w:pPr>
            <w:r>
              <w:rPr>
                <w:rFonts w:ascii="Times New Roman" w:hAnsi="Times New Roman"/>
              </w:rPr>
              <w:t>81.463715</w:t>
            </w:r>
          </w:p>
        </w:tc>
        <w:tc>
          <w:tcPr>
            <w:tcW w:w="2443" w:type="dxa"/>
          </w:tcPr>
          <w:p w14:paraId="476B1719">
            <w:pPr>
              <w:rPr>
                <w:rFonts w:ascii="Times New Roman" w:hAnsi="Times New Roman"/>
              </w:rPr>
            </w:pPr>
            <w:r>
              <w:rPr>
                <w:rFonts w:ascii="Times New Roman" w:hAnsi="Times New Roman"/>
              </w:rPr>
              <w:t>0.172534</w:t>
            </w:r>
          </w:p>
        </w:tc>
      </w:tr>
    </w:tbl>
    <w:p w14:paraId="37882A67">
      <w:pPr>
        <w:ind w:firstLine="440"/>
        <w:rPr>
          <w:rFonts w:hint="eastAsia" w:ascii="Times New Roman" w:hAnsi="Times New Roman"/>
        </w:rPr>
      </w:pPr>
      <w:commentRangeStart w:id="11"/>
      <w:r>
        <w:rPr>
          <w:rFonts w:hint="eastAsia" w:ascii="Times New Roman" w:hAnsi="Times New Roman"/>
        </w:rPr>
        <w:t>从实验结果可以看出，DAFF-Former在RMSE、MAE和MAPE三个评价指标上均取得了较优结果。与Ridge方法相比，DAFF-Former的RMSE由145.512532降低至95.339478，降幅约为34.48%；MAE由88.899729降低至81.463715，降幅约为8.36%；MAPE由0.186232降低至0.172534，降幅约为7.35%。</w:t>
      </w:r>
      <w:r>
        <w:rPr>
          <w:rFonts w:hint="eastAsia" w:ascii="Times New Roman" w:hAnsi="Times New Roman"/>
        </w:rPr>
        <w:tab/>
      </w:r>
      <w:commentRangeEnd w:id="11"/>
      <w:r>
        <w:commentReference w:id="11"/>
      </w:r>
    </w:p>
    <w:p w14:paraId="343EC63E">
      <w:pPr>
        <w:ind w:firstLine="440"/>
        <w:rPr>
          <w:rFonts w:ascii="Times New Roman" w:hAnsi="Times New Roman"/>
        </w:rPr>
      </w:pPr>
      <w:commentRangeStart w:id="12"/>
      <w:r>
        <w:rPr>
          <w:rFonts w:hint="eastAsia" w:ascii="Times New Roman" w:hAnsi="Times New Roman"/>
        </w:rPr>
        <w:t>上述结果表明，DAFF-Former能够在仅使用120个早期循环数据的情况下，同时提取局部退化片段和完整变量循环轨迹，并通过片段级和变量级自适应权重抑制无关信息，从而提升锂离子电池剩余使用寿命预测的准确性。</w:t>
      </w:r>
      <w:commentRangeEnd w:id="12"/>
      <w:r>
        <w:commentReference w:id="12"/>
      </w:r>
    </w:p>
    <w:p w14:paraId="35847211">
      <w:pPr>
        <w:pStyle w:val="27"/>
        <w:spacing w:before="156" w:beforeLines="50" w:line="360" w:lineRule="exact"/>
        <w:ind w:firstLine="482" w:firstLineChars="200"/>
        <w:rPr>
          <w:rFonts w:hint="eastAsia" w:ascii="宋体" w:hAnsi="宋体" w:cs="宋体"/>
          <w:b/>
          <w:bCs/>
          <w:kern w:val="2"/>
          <w:szCs w:val="24"/>
        </w:rPr>
      </w:pPr>
    </w:p>
    <w:p w14:paraId="14A8986A">
      <w:pPr>
        <w:pStyle w:val="27"/>
        <w:spacing w:before="156" w:beforeLines="50" w:line="360" w:lineRule="exact"/>
        <w:rPr>
          <w:rFonts w:hint="eastAsia" w:ascii="宋体" w:hAnsi="宋体" w:cs="宋体"/>
          <w:b/>
          <w:bCs/>
          <w:sz w:val="28"/>
          <w:szCs w:val="28"/>
        </w:rPr>
      </w:pPr>
      <w:r>
        <w:rPr>
          <w:rFonts w:ascii="宋体" w:hAnsi="宋体" w:cs="宋体"/>
          <w:b/>
          <w:bCs/>
          <w:kern w:val="2"/>
          <w:szCs w:val="24"/>
        </w:rPr>
        <w:br w:type="page"/>
      </w:r>
      <w:r>
        <w:rPr>
          <w:rFonts w:hint="eastAsia" w:ascii="宋体" w:hAnsi="宋体" w:cs="宋体"/>
          <w:b/>
          <w:bCs/>
          <w:sz w:val="28"/>
          <w:szCs w:val="28"/>
        </w:rPr>
        <w:t>三、</w:t>
      </w:r>
      <w:r>
        <w:rPr>
          <w:rFonts w:ascii="宋体" w:hAnsi="宋体" w:cs="宋体"/>
          <w:b/>
          <w:bCs/>
          <w:sz w:val="28"/>
          <w:szCs w:val="28"/>
        </w:rPr>
        <w:t>技术效果</w:t>
      </w:r>
      <w:r>
        <w:rPr>
          <w:rFonts w:ascii="宋体" w:hAnsi="宋体" w:cs="宋体"/>
          <w:b/>
          <w:bCs/>
          <w:sz w:val="28"/>
          <w:szCs w:val="28"/>
        </w:rPr>
        <w:tab/>
      </w:r>
    </w:p>
    <w:p w14:paraId="20C659D9">
      <w:pPr>
        <w:pStyle w:val="4"/>
        <w:rPr>
          <w:rFonts w:ascii="Times New Roman" w:hAnsi="Times New Roman" w:eastAsia="宋体"/>
        </w:rPr>
      </w:pPr>
      <w:r>
        <w:rPr>
          <w:rFonts w:ascii="Times New Roman" w:hAnsi="Times New Roman" w:eastAsia="宋体"/>
        </w:rPr>
        <w:t>1.针对局部退化征兆被长序列稀释</w:t>
      </w:r>
    </w:p>
    <w:p w14:paraId="74719E8A">
      <w:pPr>
        <w:ind w:firstLine="440"/>
        <w:rPr>
          <w:rFonts w:ascii="Times New Roman" w:hAnsi="Times New Roman"/>
        </w:rPr>
      </w:pPr>
      <w:r>
        <w:rPr>
          <w:rFonts w:ascii="Times New Roman" w:hAnsi="Times New Roman"/>
        </w:rPr>
        <w:t>通过共享潜在变量序列上的局部片段切分、片段变换器编码和片段级Softmax聚合，所述方法能够在同一潜在变量的多个局部片段之间建立依赖，并提高平台移动、斜率变化和短时突变所在片段的贡献，减少平稳循环对局部征兆的稀释。</w:t>
      </w:r>
    </w:p>
    <w:p w14:paraId="45DC1AA1">
      <w:pPr>
        <w:pStyle w:val="4"/>
        <w:rPr>
          <w:rFonts w:ascii="Times New Roman" w:hAnsi="Times New Roman" w:eastAsia="宋体"/>
        </w:rPr>
      </w:pPr>
      <w:r>
        <w:rPr>
          <w:rFonts w:ascii="Times New Roman" w:hAnsi="Times New Roman" w:eastAsia="宋体"/>
        </w:rPr>
        <w:t>2.同时表达长期变量轨迹与跨变量耦合</w:t>
      </w:r>
    </w:p>
    <w:p w14:paraId="27F66E21">
      <w:pPr>
        <w:ind w:firstLine="440"/>
        <w:rPr>
          <w:rFonts w:ascii="Times New Roman" w:hAnsi="Times New Roman"/>
        </w:rPr>
      </w:pPr>
      <w:r>
        <w:rPr>
          <w:rFonts w:ascii="Times New Roman" w:hAnsi="Times New Roman"/>
        </w:rPr>
        <w:t>完整变量循环轨迹支路保留每个潜在变量在整个早期窗口内的顺序信息；双支路按变量索引融合后，变量关系变换器沿变量维建立跨变量注意力关系，因此能够在同一表示中兼顾长期退化趋势和不同退化变量之间的协同变化。</w:t>
      </w:r>
    </w:p>
    <w:p w14:paraId="33EBA116">
      <w:pPr>
        <w:pStyle w:val="4"/>
        <w:rPr>
          <w:rFonts w:ascii="Times New Roman" w:hAnsi="Times New Roman" w:eastAsia="宋体"/>
        </w:rPr>
      </w:pPr>
      <w:r>
        <w:rPr>
          <w:rFonts w:ascii="Times New Roman" w:hAnsi="Times New Roman" w:eastAsia="宋体"/>
        </w:rPr>
        <w:t>3.按样本自适应选择寿命敏感信息</w:t>
      </w:r>
    </w:p>
    <w:p w14:paraId="2D42CE0B">
      <w:pPr>
        <w:ind w:firstLine="440"/>
        <w:rPr>
          <w:rFonts w:hint="eastAsia" w:ascii="Times New Roman" w:hAnsi="Times New Roman"/>
        </w:rPr>
      </w:pPr>
      <w:r>
        <w:rPr>
          <w:rFonts w:ascii="Times New Roman" w:hAnsi="Times New Roman"/>
        </w:rPr>
        <w:t>片段级Softmax和变量级Softmax均由当前样本的编码结果计算，不使用与样本无关的固定权重。对于不同电池或不同退化阶段，模型能够动态提高有效片段和有效变量的权重，抑制冗余及噪声信息，提高对个体差异和工况变化的适应能力。</w:t>
      </w:r>
    </w:p>
    <w:sectPr>
      <w:headerReference r:id="rId5" w:type="default"/>
      <w:footerReference r:id="rId6" w:type="default"/>
      <w:pgSz w:w="11906" w:h="16838"/>
      <w:pgMar w:top="726" w:right="1066" w:bottom="726" w:left="1066" w:header="851" w:footer="567" w:gutter="0"/>
      <w:pgNumType w:fmt="numberInDash"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 w:date="2026-09-15T15:29:12Z" w:initials="zhang">
    <w:p w14:paraId="4233641D">
      <w:r>
        <w:t>结合本次检索，请先回复下文涉及实际输入、标签计算及实验过程的确认事项，以便我们准确整理申请文件。关于核心设计的作用，建议优先提供已有说明和结果；对比及消融实验有条件时再补充，并非要求本次全部完成。尚未采用的处理或尚未验证的效果，请直接注明即可。</w:t>
      </w:r>
    </w:p>
    <w:p w14:paraId="1E4CC582">
      <w:pPr>
        <w:pStyle w:val="9"/>
      </w:pPr>
    </w:p>
  </w:comment>
  <w:comment w:id="1" w:author="zhang" w:date="2026-09-15T15:29:33Z" w:initials="zhang">
    <w:p w14:paraId="6A51E497">
      <w:r>
        <w:t>请确认实施例C=1时，实际输入是原容量曲线还是参考循环差分曲线；如采用差分，参考循环是每个窗口分别选取，还是同一电池固定选取一个循环？另请告知实际插值方法。此处有几种备选写法，需要明确本次实验采用的做法。</w:t>
      </w:r>
    </w:p>
    <w:p w14:paraId="1549254A">
      <w:pPr>
        <w:pStyle w:val="9"/>
      </w:pPr>
    </w:p>
  </w:comment>
  <w:comment w:id="2" w:author="zhang" w:date="2026-09-15T15:29:40Z" w:initials="zhang">
    <w:p w14:paraId="51963A94">
      <w:r>
        <w:t>请补充本次实验实际采用的中值窗口大小和异常阈值系数，并确认先清洗原曲线再差分，还是先差分再清洗。提供参数设置或相应代码片段即可，主要用于把预处理过程写清楚。</w:t>
      </w:r>
    </w:p>
    <w:p w14:paraId="2F94431D">
      <w:pPr>
        <w:pStyle w:val="9"/>
      </w:pPr>
    </w:p>
  </w:comment>
  <w:comment w:id="3" w:author="zhang" w:date="2026-09-15T15:29:46Z" w:initials="zhang">
    <w:p w14:paraId="3DB7CDFF">
      <w:r>
        <w:t>请优先确认RUL标签的计算时点。输入包含从c到c+H−1的H个循环，现有标签为CEOL−c。实际预测的是窗口起点还是读取整个窗口后的剩余寿命？H=120时两种口径相差119个循环，请结合标签生成代码确认，并说明实验指标采用哪一种口径，我们据此统一全文。</w:t>
      </w:r>
    </w:p>
    <w:p w14:paraId="08790A37">
      <w:pPr>
        <w:pStyle w:val="9"/>
      </w:pPr>
    </w:p>
  </w:comment>
  <w:comment w:id="4" w:author="zhang" w:date="2026-09-15T15:29:56Z" w:initials="zhang">
    <w:p w14:paraId="2233217E">
      <w:r>
        <w:t>请确认片段嵌入、片段变换器、片段评分及输出映射是否在不同潜在变量之间共享参数；式（20）中wp的p是参数名称还是片段索引，也请说明。回复实际设置即可，公式的格式及维度我们据此统一整理。</w:t>
      </w:r>
    </w:p>
    <w:p w14:paraId="19A52214">
      <w:pPr>
        <w:pStyle w:val="9"/>
      </w:pPr>
    </w:p>
  </w:comment>
  <w:comment w:id="5" w:author="zhang" w:date="2026-09-15T15:30:05Z" w:initials="zhang">
    <w:p w14:paraId="04707515">
      <w:r>
        <w:t>这部分是后续需要重点展开的技术区别。建议结合实际研发情况说明：为什么两支路共用同一潜在变量表示，先汇总该变量的局部片段，再与其完整轨迹对应融合；完整轨迹支路具体补充了什么信息？检索文献中已有双支路对齐融合，因此希望进一步说明本申请这一安排解决的具体问题。已有设计说明或中间结果均可，不要求另行设计新的处理机制。</w:t>
      </w:r>
    </w:p>
    <w:p w14:paraId="24CDBDB5">
      <w:pPr>
        <w:pStyle w:val="9"/>
      </w:pPr>
    </w:p>
  </w:comment>
  <w:comment w:id="6" w:author="zhang" w:date="2026-09-15T15:30:18Z" w:initials="zhang">
    <w:p w14:paraId="7FEFBBA3">
      <w:r>
        <w:t>建议进一步说明前后两级加权各自解决什么问题，以及为什么在双支路融合、变量关系编码后再进行变量级聚合。检索文献中已有自适应加权，需要把本申请中各步骤配合使用的作用讲清楚。请优先提供已有依据；如目前只有设计考虑、尚无单独验证，也请如实说明。</w:t>
      </w:r>
    </w:p>
    <w:p w14:paraId="3736D2D5">
      <w:pPr>
        <w:pStyle w:val="9"/>
      </w:pPr>
    </w:p>
  </w:comment>
  <w:comment w:id="7" w:author="zhang" w:date="2026-09-15T15:30:26Z" w:initials="zhang">
    <w:p w14:paraId="1E41639F">
      <w:r>
        <w:t>请确认S3按当前样本计算均值、标准差，与这里“仅利用训练集确定归一化参数”是否属于两道不同处理；如是，请分别说明处理对象和推理时的参数来源。另外，归一化后的均值、标准差是否另行送入后续网络，RUL标签是否作变换？按实际流程说明即可，相关公式和“初始水平”等效果表述由我们据此整理。</w:t>
      </w:r>
    </w:p>
    <w:p w14:paraId="6C8A30DC">
      <w:pPr>
        <w:pStyle w:val="9"/>
      </w:pPr>
    </w:p>
  </w:comment>
  <w:comment w:id="8" w:author="zhang" w:date="2026-09-15T15:30:35Z" w:initials="zhang">
    <w:p w14:paraId="5454A3AB">
      <w:r>
        <w:t>请确认寿命终点是在剔除低容量循环之前还是之后确定，低容量剔除阈值是多少；删除部分循环后，RUL使用原始循环编号还是重新编号？这会影响标签是否准确。建议用一个实际电池的循环编号与寿命终点作简短说明；若数据存在容量低于80%后又恢复的情况，也请说明实际终点判定规则。</w:t>
      </w:r>
    </w:p>
    <w:p w14:paraId="50E706D0">
      <w:pPr>
        <w:pStyle w:val="9"/>
      </w:pPr>
    </w:p>
  </w:comment>
  <w:comment w:id="9" w:author="zhang" w:date="2026-09-15T15:30:42Z" w:initials="zhang">
    <w:p w14:paraId="4BB71EE3">
      <w:r>
        <w:t>请提供13个电池的训练、测试名单，并确认每个电池只取前120个循环形成一个样本，还是通过滑窗形成多个样本。如为滑窗，请说明窗口范围和步长；同时列出筛除RUL≤100样本后的实际样本数。若仅有9个训练样本，请一并确认batch_size=128的实际执行方式。</w:t>
      </w:r>
    </w:p>
    <w:p w14:paraId="0870DFBA">
      <w:pPr>
        <w:pStyle w:val="9"/>
      </w:pPr>
    </w:p>
  </w:comment>
  <w:comment w:id="10" w:author="zhang" w:date="2026-09-15T15:30:49Z" w:initials="zhang">
    <w:p w14:paraId="65E82D55">
      <w:r>
        <w:t>请确认是否另设验证集，以及实际依据哪个数据集选择最终模型。目前“测试集仅用于评价”与“保存测试RMSE最优模型”不一致，需要先明确真实过程。如确实根据测试集选模，请如实说明；有条件时建议另用独立数据核验效果，不能仅将测试集改称验证集。</w:t>
      </w:r>
    </w:p>
    <w:p w14:paraId="6AB5FFC7">
      <w:pPr>
        <w:pStyle w:val="9"/>
      </w:pPr>
    </w:p>
  </w:comment>
  <w:comment w:id="11" w:author="zhang" w:date="2026-09-15T15:30:57Z" w:initials="zhang">
    <w:p w14:paraId="32674EF7">
      <w:r>
        <w:t>为加强核心设计的效果依据，建议优先提供已有的单支路、取消某一级加权或变量关系编码等对照结果。条件允许时，可补充关键消融实验或与PatchFormer的同条件比较，无需把这些实验全部做一遍。请注明输入、标签口径及评价条件；暂无结果的，可直接说明尚未验证，我们据现有依据确定效果表述。</w:t>
      </w:r>
    </w:p>
    <w:p w14:paraId="2D021090">
      <w:pPr>
        <w:pStyle w:val="9"/>
      </w:pPr>
    </w:p>
  </w:comment>
  <w:comment w:id="12" w:author="zhang" w:date="2026-09-15T15:31:05Z" w:initials="zhang">
    <w:p w14:paraId="2B1FEF75">
      <w:r>
        <w:t>请核对表中PCR与PLSR的三项指标完全相同是否属实，并尽量提供已有的各测试电池预测值、真实值或原始结果表，便于核对汇总指标。如果目前只验证了前120个循环，请一并确认；“不同退化阶段”“工况变化适应能力”等表述，我们将按已有验证范围收紧，无需为保留这些表述专门增加实验。</w:t>
      </w:r>
    </w:p>
    <w:p w14:paraId="1CAB5A24">
      <w:pPr>
        <w:pStyle w:val="9"/>
      </w:pP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E4CC582" w15:done="0"/>
  <w15:commentEx w15:paraId="1549254A" w15:done="0"/>
  <w15:commentEx w15:paraId="2F94431D" w15:done="0"/>
  <w15:commentEx w15:paraId="08790A37" w15:done="0"/>
  <w15:commentEx w15:paraId="19A52214" w15:done="0"/>
  <w15:commentEx w15:paraId="24CDBDB5" w15:done="0"/>
  <w15:commentEx w15:paraId="3736D2D5" w15:done="0"/>
  <w15:commentEx w15:paraId="6C8A30DC" w15:done="0"/>
  <w15:commentEx w15:paraId="50E706D0" w15:done="0"/>
  <w15:commentEx w15:paraId="0870DFBA" w15:done="0"/>
  <w15:commentEx w15:paraId="6AB5FFC7" w15:done="0"/>
  <w15:commentEx w15:paraId="2D021090" w15:done="0"/>
  <w15:commentEx w15:paraId="1CAB5A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B673">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86385" cy="147955"/>
              <wp:effectExtent l="0" t="1270" r="1270" b="3175"/>
              <wp:wrapNone/>
              <wp:docPr id="2106173320" name="文本框 1026"/>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wps:spPr>
                    <wps:txbx>
                      <w:txbxContent>
                        <w:p w14:paraId="2D76194B">
                          <w:pPr>
                            <w:pStyle w:val="1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PAGE  \* MERGEFORMAT </w:instrText>
                          </w:r>
                          <w:r>
                            <w:rPr>
                              <w:rFonts w:hint="eastAsia" w:ascii="黑体" w:hAnsi="黑体" w:eastAsia="黑体" w:cs="黑体"/>
                            </w:rPr>
                            <w:fldChar w:fldCharType="separate"/>
                          </w:r>
                          <w:r>
                            <w:rPr>
                              <w:rFonts w:hint="eastAsia" w:ascii="黑体" w:hAnsi="黑体" w:eastAsia="黑体" w:cs="黑体"/>
                            </w:rPr>
                            <w:t>- 1 -</w:t>
                          </w:r>
                          <w:r>
                            <w:rPr>
                              <w:rFonts w:hint="eastAsia" w:ascii="黑体" w:hAnsi="黑体" w:eastAsia="黑体" w:cs="黑体"/>
                            </w:rPr>
                            <w:fldChar w:fldCharType="end"/>
                          </w:r>
                        </w:p>
                      </w:txbxContent>
                    </wps:txbx>
                    <wps:bodyPr rot="0" vert="horz" wrap="none" lIns="0" tIns="0" rIns="0" bIns="0" anchor="t" anchorCtr="0" upright="1">
                      <a:spAutoFit/>
                    </wps:bodyPr>
                  </wps:wsp>
                </a:graphicData>
              </a:graphic>
            </wp:anchor>
          </w:drawing>
        </mc:Choice>
        <mc:Fallback>
          <w:pict>
            <v:shape id="文本框 1026" o:spid="_x0000_s1026" o:spt="202" type="#_x0000_t202" style="position:absolute;left:0pt;margin-top:0pt;height:11.65pt;width:22.55pt;mso-position-horizontal:center;mso-position-horizontal-relative:margin;mso-wrap-style:none;z-index:251659264;mso-width-relative:page;mso-height-relative:page;" filled="f" stroked="f" coordsize="21600,21600" o:gfxdata="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f/xsx0gAAAAMBAAAPAAAAAAAAAAEA&#10;IAAAACIAAABkcnMvZG93bnJldi54bWxQSwECFAAUAAAACACHTuJAaPlScxUCAAAOBAAADgAAAAAA&#10;AAABACAAAAAhAQAAZHJzL2Uyb0RvYy54bWxQSwUGAAAAAAYABgBZAQAAqAUAAAAA&#10;">
              <v:fill on="f" focussize="0,0"/>
              <v:stroke on="f"/>
              <v:imagedata o:title=""/>
              <o:lock v:ext="edit" aspectratio="f"/>
              <v:textbox inset="0mm,0mm,0mm,0mm" style="mso-fit-shape-to-text:t;">
                <w:txbxContent>
                  <w:p w14:paraId="2D76194B">
                    <w:pPr>
                      <w:pStyle w:val="10"/>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PAGE  \* MERGEFORMAT </w:instrText>
                    </w:r>
                    <w:r>
                      <w:rPr>
                        <w:rFonts w:hint="eastAsia" w:ascii="黑体" w:hAnsi="黑体" w:eastAsia="黑体" w:cs="黑体"/>
                      </w:rPr>
                      <w:fldChar w:fldCharType="separate"/>
                    </w:r>
                    <w:r>
                      <w:rPr>
                        <w:rFonts w:hint="eastAsia" w:ascii="黑体" w:hAnsi="黑体" w:eastAsia="黑体" w:cs="黑体"/>
                      </w:rPr>
                      <w:t>- 1 -</w:t>
                    </w:r>
                    <w:r>
                      <w:rPr>
                        <w:rFonts w:hint="eastAsia" w:ascii="黑体" w:hAnsi="黑体" w:eastAsia="黑体" w:cs="黑体"/>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92205">
    <w:pPr>
      <w:pStyle w:val="11"/>
      <w:jc w:val="right"/>
      <w:rPr>
        <w:rFonts w:hint="eastAsia" w:ascii="黑体" w:hAnsi="黑体" w:eastAsia="黑体" w:cs="黑体"/>
      </w:rPr>
    </w:pPr>
    <w:r>
      <w:rPr>
        <w:rFonts w:hint="eastAsia" w:ascii="黑体" w:hAnsi="黑体" w:eastAsia="黑体" w:cs="黑体"/>
      </w:rPr>
      <w:t>版本号：3.1</w:t>
    </w:r>
  </w:p>
  <w:p w14:paraId="162AE57F">
    <w:pPr>
      <w:pStyle w:val="11"/>
      <w:jc w:val="right"/>
      <w:rPr>
        <w:rFonts w:hint="eastAsia" w:ascii="黑体" w:hAnsi="黑体" w:eastAsia="黑体" w:cs="黑体"/>
      </w:rPr>
    </w:pPr>
    <w:r>
      <w:rPr>
        <w:rFonts w:hint="eastAsia" w:ascii="黑体" w:hAnsi="黑体" w:eastAsia="黑体" w:cs="黑体"/>
      </w:rPr>
      <w:t>2025年9月</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
    <w15:presenceInfo w15:providerId="None" w15:userI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mirrorMargins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M4YmMxNjM4ZjQzNWE0MGU1YjA5MjBiOWNlMDE3N2UifQ=="/>
  </w:docVars>
  <w:rsids>
    <w:rsidRoot w:val="00172A27"/>
    <w:rsid w:val="00031E43"/>
    <w:rsid w:val="00172A27"/>
    <w:rsid w:val="001B1062"/>
    <w:rsid w:val="001C747B"/>
    <w:rsid w:val="00213DA8"/>
    <w:rsid w:val="00460845"/>
    <w:rsid w:val="00487753"/>
    <w:rsid w:val="005601D7"/>
    <w:rsid w:val="005B2A74"/>
    <w:rsid w:val="006268E2"/>
    <w:rsid w:val="00651407"/>
    <w:rsid w:val="00657ED6"/>
    <w:rsid w:val="006674A6"/>
    <w:rsid w:val="00696C07"/>
    <w:rsid w:val="00700D4C"/>
    <w:rsid w:val="00742FC0"/>
    <w:rsid w:val="007A2662"/>
    <w:rsid w:val="007A42BC"/>
    <w:rsid w:val="007F11B2"/>
    <w:rsid w:val="00806FF1"/>
    <w:rsid w:val="00845AA5"/>
    <w:rsid w:val="008718F8"/>
    <w:rsid w:val="008C65C1"/>
    <w:rsid w:val="008F20E8"/>
    <w:rsid w:val="008F7023"/>
    <w:rsid w:val="00A22C8B"/>
    <w:rsid w:val="00A5765C"/>
    <w:rsid w:val="00AB2996"/>
    <w:rsid w:val="00AB57FC"/>
    <w:rsid w:val="00B91487"/>
    <w:rsid w:val="00C57734"/>
    <w:rsid w:val="00C638CB"/>
    <w:rsid w:val="00C6664C"/>
    <w:rsid w:val="00CA7588"/>
    <w:rsid w:val="00D04ED4"/>
    <w:rsid w:val="00D73B06"/>
    <w:rsid w:val="00D8269F"/>
    <w:rsid w:val="00D9530A"/>
    <w:rsid w:val="00DC536E"/>
    <w:rsid w:val="00DD39F8"/>
    <w:rsid w:val="00E4152A"/>
    <w:rsid w:val="00E47D17"/>
    <w:rsid w:val="00E63AC0"/>
    <w:rsid w:val="00F351C3"/>
    <w:rsid w:val="00F35B71"/>
    <w:rsid w:val="00FC1AD9"/>
    <w:rsid w:val="00FF5C42"/>
    <w:rsid w:val="00FF7F54"/>
    <w:rsid w:val="010A7E3C"/>
    <w:rsid w:val="0124726E"/>
    <w:rsid w:val="018502B5"/>
    <w:rsid w:val="01911594"/>
    <w:rsid w:val="01A65662"/>
    <w:rsid w:val="01B76EAE"/>
    <w:rsid w:val="01BB4C9E"/>
    <w:rsid w:val="01BD35AB"/>
    <w:rsid w:val="01C55AE2"/>
    <w:rsid w:val="01DB22AD"/>
    <w:rsid w:val="01E01F34"/>
    <w:rsid w:val="01FC51FC"/>
    <w:rsid w:val="024960FC"/>
    <w:rsid w:val="024E7FB0"/>
    <w:rsid w:val="02540A62"/>
    <w:rsid w:val="02592A7D"/>
    <w:rsid w:val="02D86D4C"/>
    <w:rsid w:val="030B5715"/>
    <w:rsid w:val="03272088"/>
    <w:rsid w:val="032E0994"/>
    <w:rsid w:val="032F5327"/>
    <w:rsid w:val="03460175"/>
    <w:rsid w:val="036C642C"/>
    <w:rsid w:val="03766107"/>
    <w:rsid w:val="03AB6A63"/>
    <w:rsid w:val="03CC3F79"/>
    <w:rsid w:val="03DB79E9"/>
    <w:rsid w:val="03E97965"/>
    <w:rsid w:val="03EB3CF5"/>
    <w:rsid w:val="03FF67F0"/>
    <w:rsid w:val="040475DA"/>
    <w:rsid w:val="042E6226"/>
    <w:rsid w:val="044017A2"/>
    <w:rsid w:val="044C19D3"/>
    <w:rsid w:val="044F4B75"/>
    <w:rsid w:val="046F4992"/>
    <w:rsid w:val="0472123F"/>
    <w:rsid w:val="048649AB"/>
    <w:rsid w:val="048C41FA"/>
    <w:rsid w:val="049B4849"/>
    <w:rsid w:val="04D11184"/>
    <w:rsid w:val="04DA68C2"/>
    <w:rsid w:val="04F6567D"/>
    <w:rsid w:val="051F50FF"/>
    <w:rsid w:val="05235E1B"/>
    <w:rsid w:val="05403581"/>
    <w:rsid w:val="0552540A"/>
    <w:rsid w:val="0577263C"/>
    <w:rsid w:val="05914D17"/>
    <w:rsid w:val="0596630B"/>
    <w:rsid w:val="059B6CF4"/>
    <w:rsid w:val="05A06309"/>
    <w:rsid w:val="05D21DBF"/>
    <w:rsid w:val="05DD06BF"/>
    <w:rsid w:val="05DF39F1"/>
    <w:rsid w:val="05EE5568"/>
    <w:rsid w:val="05EF650E"/>
    <w:rsid w:val="060D1698"/>
    <w:rsid w:val="06256CE2"/>
    <w:rsid w:val="064A1458"/>
    <w:rsid w:val="06533E4C"/>
    <w:rsid w:val="066C02F1"/>
    <w:rsid w:val="067662B0"/>
    <w:rsid w:val="069F3CDA"/>
    <w:rsid w:val="06AE12DC"/>
    <w:rsid w:val="06B67CED"/>
    <w:rsid w:val="06CE242D"/>
    <w:rsid w:val="06DC75F9"/>
    <w:rsid w:val="06E23F3B"/>
    <w:rsid w:val="06FE2235"/>
    <w:rsid w:val="071076C2"/>
    <w:rsid w:val="07947229"/>
    <w:rsid w:val="07A75954"/>
    <w:rsid w:val="07A86EF5"/>
    <w:rsid w:val="07A913C4"/>
    <w:rsid w:val="07B8614D"/>
    <w:rsid w:val="07B92A66"/>
    <w:rsid w:val="07BF602B"/>
    <w:rsid w:val="07C53D9D"/>
    <w:rsid w:val="07DD4A70"/>
    <w:rsid w:val="07EF168C"/>
    <w:rsid w:val="07F9744A"/>
    <w:rsid w:val="08142F0D"/>
    <w:rsid w:val="08364E03"/>
    <w:rsid w:val="08470072"/>
    <w:rsid w:val="084B3C6B"/>
    <w:rsid w:val="084F5179"/>
    <w:rsid w:val="08607386"/>
    <w:rsid w:val="088F3BF6"/>
    <w:rsid w:val="08A104B2"/>
    <w:rsid w:val="08E67D64"/>
    <w:rsid w:val="091372B8"/>
    <w:rsid w:val="091A0DF3"/>
    <w:rsid w:val="091A7736"/>
    <w:rsid w:val="092050F1"/>
    <w:rsid w:val="098E2F96"/>
    <w:rsid w:val="099069A6"/>
    <w:rsid w:val="099205E1"/>
    <w:rsid w:val="099B3A9F"/>
    <w:rsid w:val="099E60F9"/>
    <w:rsid w:val="09A11A04"/>
    <w:rsid w:val="09C7792F"/>
    <w:rsid w:val="0A0A099A"/>
    <w:rsid w:val="0A132D73"/>
    <w:rsid w:val="0A16621C"/>
    <w:rsid w:val="0A2C74AD"/>
    <w:rsid w:val="0A3C31FF"/>
    <w:rsid w:val="0A8665A1"/>
    <w:rsid w:val="0AA41748"/>
    <w:rsid w:val="0AA9153D"/>
    <w:rsid w:val="0AB67731"/>
    <w:rsid w:val="0AEB0B4C"/>
    <w:rsid w:val="0AEE5C40"/>
    <w:rsid w:val="0B106E41"/>
    <w:rsid w:val="0B3C19E4"/>
    <w:rsid w:val="0B552DF9"/>
    <w:rsid w:val="0B67131B"/>
    <w:rsid w:val="0B8308C2"/>
    <w:rsid w:val="0B9B326E"/>
    <w:rsid w:val="0BA5472B"/>
    <w:rsid w:val="0BCE5FFE"/>
    <w:rsid w:val="0BCF3FAB"/>
    <w:rsid w:val="0BD208DC"/>
    <w:rsid w:val="0BD971CE"/>
    <w:rsid w:val="0BE4681D"/>
    <w:rsid w:val="0BFC4EDC"/>
    <w:rsid w:val="0C272E9D"/>
    <w:rsid w:val="0C2B0E59"/>
    <w:rsid w:val="0C8F1FE8"/>
    <w:rsid w:val="0CC41113"/>
    <w:rsid w:val="0CD619C5"/>
    <w:rsid w:val="0CE916F8"/>
    <w:rsid w:val="0CFC7EEB"/>
    <w:rsid w:val="0CFD1647"/>
    <w:rsid w:val="0D2A1D10"/>
    <w:rsid w:val="0D2C4B90"/>
    <w:rsid w:val="0D3F4A5E"/>
    <w:rsid w:val="0D411B3E"/>
    <w:rsid w:val="0D8004DD"/>
    <w:rsid w:val="0DA150BB"/>
    <w:rsid w:val="0DAE2AFF"/>
    <w:rsid w:val="0DBC369E"/>
    <w:rsid w:val="0DC10D00"/>
    <w:rsid w:val="0DDB43E8"/>
    <w:rsid w:val="0DF14888"/>
    <w:rsid w:val="0E2702CE"/>
    <w:rsid w:val="0E2826F4"/>
    <w:rsid w:val="0E5A03D3"/>
    <w:rsid w:val="0E625841"/>
    <w:rsid w:val="0E663E2A"/>
    <w:rsid w:val="0E692AE7"/>
    <w:rsid w:val="0E7319D4"/>
    <w:rsid w:val="0EF64623"/>
    <w:rsid w:val="0F024A40"/>
    <w:rsid w:val="0F196542"/>
    <w:rsid w:val="0F1B4FC3"/>
    <w:rsid w:val="0F3375FF"/>
    <w:rsid w:val="0F4657C6"/>
    <w:rsid w:val="0F5A3BC7"/>
    <w:rsid w:val="0F6E4871"/>
    <w:rsid w:val="0F904F39"/>
    <w:rsid w:val="0F943F17"/>
    <w:rsid w:val="0F957596"/>
    <w:rsid w:val="0F977B31"/>
    <w:rsid w:val="0F984DB6"/>
    <w:rsid w:val="0FA7598F"/>
    <w:rsid w:val="0FD7617F"/>
    <w:rsid w:val="0FEC42F3"/>
    <w:rsid w:val="0FF94185"/>
    <w:rsid w:val="10021196"/>
    <w:rsid w:val="100C1DDD"/>
    <w:rsid w:val="100D1BA1"/>
    <w:rsid w:val="10130652"/>
    <w:rsid w:val="101B0695"/>
    <w:rsid w:val="1021078A"/>
    <w:rsid w:val="10361967"/>
    <w:rsid w:val="103E6D5D"/>
    <w:rsid w:val="10484253"/>
    <w:rsid w:val="10701091"/>
    <w:rsid w:val="107439CE"/>
    <w:rsid w:val="10815D68"/>
    <w:rsid w:val="108B1DE2"/>
    <w:rsid w:val="10B2618C"/>
    <w:rsid w:val="10C60669"/>
    <w:rsid w:val="10CA1840"/>
    <w:rsid w:val="10EB2A8E"/>
    <w:rsid w:val="10F50375"/>
    <w:rsid w:val="10F85CEF"/>
    <w:rsid w:val="10F863AD"/>
    <w:rsid w:val="10FA6D77"/>
    <w:rsid w:val="11011AC4"/>
    <w:rsid w:val="111B2092"/>
    <w:rsid w:val="113154EE"/>
    <w:rsid w:val="115C6AD9"/>
    <w:rsid w:val="11901015"/>
    <w:rsid w:val="11963756"/>
    <w:rsid w:val="11AD1A17"/>
    <w:rsid w:val="11C444E1"/>
    <w:rsid w:val="11F33019"/>
    <w:rsid w:val="12053AED"/>
    <w:rsid w:val="121829C3"/>
    <w:rsid w:val="121A46EF"/>
    <w:rsid w:val="121A7F2E"/>
    <w:rsid w:val="1221622D"/>
    <w:rsid w:val="12231B02"/>
    <w:rsid w:val="12250A74"/>
    <w:rsid w:val="122C618E"/>
    <w:rsid w:val="12310242"/>
    <w:rsid w:val="128010B8"/>
    <w:rsid w:val="12887363"/>
    <w:rsid w:val="128F03F3"/>
    <w:rsid w:val="12AA3429"/>
    <w:rsid w:val="12CD386A"/>
    <w:rsid w:val="12D45269"/>
    <w:rsid w:val="12D81F09"/>
    <w:rsid w:val="12DC1856"/>
    <w:rsid w:val="12F829F5"/>
    <w:rsid w:val="131A4BD7"/>
    <w:rsid w:val="13516249"/>
    <w:rsid w:val="13695039"/>
    <w:rsid w:val="136B28D7"/>
    <w:rsid w:val="138B5AA7"/>
    <w:rsid w:val="13A02D2C"/>
    <w:rsid w:val="13A82017"/>
    <w:rsid w:val="13CB56EE"/>
    <w:rsid w:val="13E15BE1"/>
    <w:rsid w:val="13F20307"/>
    <w:rsid w:val="141D3549"/>
    <w:rsid w:val="143B3A2E"/>
    <w:rsid w:val="146658BD"/>
    <w:rsid w:val="14704074"/>
    <w:rsid w:val="147E481B"/>
    <w:rsid w:val="14A033CC"/>
    <w:rsid w:val="14A7424C"/>
    <w:rsid w:val="14B06F9F"/>
    <w:rsid w:val="14B1121D"/>
    <w:rsid w:val="14E54F27"/>
    <w:rsid w:val="14F42512"/>
    <w:rsid w:val="15022121"/>
    <w:rsid w:val="1506495A"/>
    <w:rsid w:val="15264F6A"/>
    <w:rsid w:val="15304050"/>
    <w:rsid w:val="158F31A8"/>
    <w:rsid w:val="15965F38"/>
    <w:rsid w:val="15A313AE"/>
    <w:rsid w:val="15A3249E"/>
    <w:rsid w:val="15B871E8"/>
    <w:rsid w:val="15CE3B81"/>
    <w:rsid w:val="15E73402"/>
    <w:rsid w:val="15F654EC"/>
    <w:rsid w:val="160672B2"/>
    <w:rsid w:val="160A49EC"/>
    <w:rsid w:val="16267065"/>
    <w:rsid w:val="162A1699"/>
    <w:rsid w:val="163D167D"/>
    <w:rsid w:val="1646339C"/>
    <w:rsid w:val="16467BBB"/>
    <w:rsid w:val="164A7B76"/>
    <w:rsid w:val="164B29B3"/>
    <w:rsid w:val="168D521E"/>
    <w:rsid w:val="169D0699"/>
    <w:rsid w:val="16A465F5"/>
    <w:rsid w:val="16D50BC3"/>
    <w:rsid w:val="16E15B41"/>
    <w:rsid w:val="16E72B20"/>
    <w:rsid w:val="16F35B1B"/>
    <w:rsid w:val="16FD53DC"/>
    <w:rsid w:val="170350B8"/>
    <w:rsid w:val="172224A0"/>
    <w:rsid w:val="172E7E07"/>
    <w:rsid w:val="175D11D2"/>
    <w:rsid w:val="175D4F93"/>
    <w:rsid w:val="17680005"/>
    <w:rsid w:val="17780248"/>
    <w:rsid w:val="17AF2468"/>
    <w:rsid w:val="17C05CA9"/>
    <w:rsid w:val="17D64F6F"/>
    <w:rsid w:val="17EB2F3E"/>
    <w:rsid w:val="180C7254"/>
    <w:rsid w:val="181B6E25"/>
    <w:rsid w:val="182237D4"/>
    <w:rsid w:val="182357E6"/>
    <w:rsid w:val="18270762"/>
    <w:rsid w:val="184A2FB0"/>
    <w:rsid w:val="18530C2B"/>
    <w:rsid w:val="186603BA"/>
    <w:rsid w:val="1866188C"/>
    <w:rsid w:val="188273EC"/>
    <w:rsid w:val="18904CFF"/>
    <w:rsid w:val="18986390"/>
    <w:rsid w:val="18A0674F"/>
    <w:rsid w:val="18E36A73"/>
    <w:rsid w:val="191339C9"/>
    <w:rsid w:val="19292D5E"/>
    <w:rsid w:val="19304FCA"/>
    <w:rsid w:val="195A4E5F"/>
    <w:rsid w:val="196F09CA"/>
    <w:rsid w:val="19771955"/>
    <w:rsid w:val="19833506"/>
    <w:rsid w:val="19AC07DE"/>
    <w:rsid w:val="19AE61A3"/>
    <w:rsid w:val="19CD5127"/>
    <w:rsid w:val="19DB1D32"/>
    <w:rsid w:val="19DB2E5E"/>
    <w:rsid w:val="19E40C82"/>
    <w:rsid w:val="19EE4782"/>
    <w:rsid w:val="19EF0658"/>
    <w:rsid w:val="19EF5396"/>
    <w:rsid w:val="1A006E8A"/>
    <w:rsid w:val="1A037829"/>
    <w:rsid w:val="1A357095"/>
    <w:rsid w:val="1A381F10"/>
    <w:rsid w:val="1A397C27"/>
    <w:rsid w:val="1A547391"/>
    <w:rsid w:val="1A5D6875"/>
    <w:rsid w:val="1A7F369B"/>
    <w:rsid w:val="1A96366C"/>
    <w:rsid w:val="1ADF25B5"/>
    <w:rsid w:val="1AF6795E"/>
    <w:rsid w:val="1B082901"/>
    <w:rsid w:val="1B0D608D"/>
    <w:rsid w:val="1B0D764C"/>
    <w:rsid w:val="1B172085"/>
    <w:rsid w:val="1B2E5B63"/>
    <w:rsid w:val="1B652ADD"/>
    <w:rsid w:val="1B766CE2"/>
    <w:rsid w:val="1C00023C"/>
    <w:rsid w:val="1C07607D"/>
    <w:rsid w:val="1C094A20"/>
    <w:rsid w:val="1C2F2F46"/>
    <w:rsid w:val="1C311AA4"/>
    <w:rsid w:val="1C35495A"/>
    <w:rsid w:val="1C6A3ED7"/>
    <w:rsid w:val="1C896A53"/>
    <w:rsid w:val="1CA13D9D"/>
    <w:rsid w:val="1CDF0F8E"/>
    <w:rsid w:val="1CF10155"/>
    <w:rsid w:val="1CF76189"/>
    <w:rsid w:val="1D51018F"/>
    <w:rsid w:val="1D5A004A"/>
    <w:rsid w:val="1D6D1ED1"/>
    <w:rsid w:val="1D6F6395"/>
    <w:rsid w:val="1D7D1877"/>
    <w:rsid w:val="1D8E2023"/>
    <w:rsid w:val="1D950FF3"/>
    <w:rsid w:val="1D9531D6"/>
    <w:rsid w:val="1DB03560"/>
    <w:rsid w:val="1DD84DDE"/>
    <w:rsid w:val="1DEF6D8A"/>
    <w:rsid w:val="1DF510CF"/>
    <w:rsid w:val="1DFB62F9"/>
    <w:rsid w:val="1E0E0C04"/>
    <w:rsid w:val="1E147656"/>
    <w:rsid w:val="1E1A78C4"/>
    <w:rsid w:val="1E747651"/>
    <w:rsid w:val="1EAA3ABD"/>
    <w:rsid w:val="1EAA3EAF"/>
    <w:rsid w:val="1EC3767E"/>
    <w:rsid w:val="1EC53E8B"/>
    <w:rsid w:val="1EE235F3"/>
    <w:rsid w:val="1EE85202"/>
    <w:rsid w:val="1F230191"/>
    <w:rsid w:val="1F341C3E"/>
    <w:rsid w:val="1F39033E"/>
    <w:rsid w:val="1F3B76DF"/>
    <w:rsid w:val="1F7549E7"/>
    <w:rsid w:val="1F7D504F"/>
    <w:rsid w:val="1F8337CD"/>
    <w:rsid w:val="1FBF6075"/>
    <w:rsid w:val="1FD0021C"/>
    <w:rsid w:val="20175D99"/>
    <w:rsid w:val="202219BE"/>
    <w:rsid w:val="20296DC7"/>
    <w:rsid w:val="202A201A"/>
    <w:rsid w:val="202C28B3"/>
    <w:rsid w:val="20303154"/>
    <w:rsid w:val="203D704E"/>
    <w:rsid w:val="204748C7"/>
    <w:rsid w:val="204764D2"/>
    <w:rsid w:val="204A395E"/>
    <w:rsid w:val="2086103B"/>
    <w:rsid w:val="208A7278"/>
    <w:rsid w:val="208D1359"/>
    <w:rsid w:val="2093796F"/>
    <w:rsid w:val="20A43BDE"/>
    <w:rsid w:val="20C90DBF"/>
    <w:rsid w:val="20C963FA"/>
    <w:rsid w:val="20CA6BBD"/>
    <w:rsid w:val="20D2064F"/>
    <w:rsid w:val="20D73439"/>
    <w:rsid w:val="20DE0DC2"/>
    <w:rsid w:val="20E61B13"/>
    <w:rsid w:val="20EC5803"/>
    <w:rsid w:val="20F062E4"/>
    <w:rsid w:val="20FA05EB"/>
    <w:rsid w:val="20FC240B"/>
    <w:rsid w:val="210A2A04"/>
    <w:rsid w:val="211377B4"/>
    <w:rsid w:val="212044DE"/>
    <w:rsid w:val="21281B1A"/>
    <w:rsid w:val="212B704C"/>
    <w:rsid w:val="2130749E"/>
    <w:rsid w:val="213C34EE"/>
    <w:rsid w:val="21405516"/>
    <w:rsid w:val="214C089D"/>
    <w:rsid w:val="215509EF"/>
    <w:rsid w:val="2165080F"/>
    <w:rsid w:val="21930C3D"/>
    <w:rsid w:val="21967957"/>
    <w:rsid w:val="21D667A6"/>
    <w:rsid w:val="21E726F9"/>
    <w:rsid w:val="222B7878"/>
    <w:rsid w:val="22324D1B"/>
    <w:rsid w:val="22462CF1"/>
    <w:rsid w:val="22490C3B"/>
    <w:rsid w:val="226F0499"/>
    <w:rsid w:val="22762C3A"/>
    <w:rsid w:val="227710FC"/>
    <w:rsid w:val="229B3F41"/>
    <w:rsid w:val="22B7798C"/>
    <w:rsid w:val="22C803F3"/>
    <w:rsid w:val="22CE40E2"/>
    <w:rsid w:val="23374D9B"/>
    <w:rsid w:val="23535ADE"/>
    <w:rsid w:val="236B2871"/>
    <w:rsid w:val="2371393E"/>
    <w:rsid w:val="23760313"/>
    <w:rsid w:val="239A7A2D"/>
    <w:rsid w:val="23C2284B"/>
    <w:rsid w:val="23D90D62"/>
    <w:rsid w:val="23DB4F57"/>
    <w:rsid w:val="23DE0B97"/>
    <w:rsid w:val="24317AAF"/>
    <w:rsid w:val="24471A36"/>
    <w:rsid w:val="245B0FF0"/>
    <w:rsid w:val="24626032"/>
    <w:rsid w:val="246851A0"/>
    <w:rsid w:val="24731D69"/>
    <w:rsid w:val="249A037A"/>
    <w:rsid w:val="24A53C8A"/>
    <w:rsid w:val="24B0607A"/>
    <w:rsid w:val="24B911AC"/>
    <w:rsid w:val="24DA7AD1"/>
    <w:rsid w:val="24DD58E0"/>
    <w:rsid w:val="24E35143"/>
    <w:rsid w:val="24F17118"/>
    <w:rsid w:val="252D6BB1"/>
    <w:rsid w:val="254877B2"/>
    <w:rsid w:val="25897824"/>
    <w:rsid w:val="258E0C37"/>
    <w:rsid w:val="259F26F1"/>
    <w:rsid w:val="25AE55D9"/>
    <w:rsid w:val="25BB7431"/>
    <w:rsid w:val="25E00BFC"/>
    <w:rsid w:val="25EC2D52"/>
    <w:rsid w:val="25F326E1"/>
    <w:rsid w:val="260C19FF"/>
    <w:rsid w:val="26812BB3"/>
    <w:rsid w:val="26827C14"/>
    <w:rsid w:val="2697071D"/>
    <w:rsid w:val="26DF1F27"/>
    <w:rsid w:val="26FA69C7"/>
    <w:rsid w:val="270028BB"/>
    <w:rsid w:val="27010932"/>
    <w:rsid w:val="271933EF"/>
    <w:rsid w:val="27262CD6"/>
    <w:rsid w:val="272C0A6F"/>
    <w:rsid w:val="275938DD"/>
    <w:rsid w:val="2762237B"/>
    <w:rsid w:val="27636F1C"/>
    <w:rsid w:val="278234D7"/>
    <w:rsid w:val="27AD772F"/>
    <w:rsid w:val="27C84ACA"/>
    <w:rsid w:val="27D034F1"/>
    <w:rsid w:val="280C1694"/>
    <w:rsid w:val="28366C64"/>
    <w:rsid w:val="28410A5C"/>
    <w:rsid w:val="28715BC0"/>
    <w:rsid w:val="287648B4"/>
    <w:rsid w:val="288914D3"/>
    <w:rsid w:val="288A52B3"/>
    <w:rsid w:val="28991DCC"/>
    <w:rsid w:val="289B3D96"/>
    <w:rsid w:val="289B6816"/>
    <w:rsid w:val="28E84417"/>
    <w:rsid w:val="28F32576"/>
    <w:rsid w:val="28FB65E3"/>
    <w:rsid w:val="29097DF2"/>
    <w:rsid w:val="291268BD"/>
    <w:rsid w:val="291D263C"/>
    <w:rsid w:val="29223228"/>
    <w:rsid w:val="29232D84"/>
    <w:rsid w:val="29624B88"/>
    <w:rsid w:val="29731992"/>
    <w:rsid w:val="297609F2"/>
    <w:rsid w:val="298F0448"/>
    <w:rsid w:val="2993356F"/>
    <w:rsid w:val="29B07297"/>
    <w:rsid w:val="29BD098C"/>
    <w:rsid w:val="29CB6F52"/>
    <w:rsid w:val="29F53203"/>
    <w:rsid w:val="29FA0858"/>
    <w:rsid w:val="2A03351F"/>
    <w:rsid w:val="2A0D49DC"/>
    <w:rsid w:val="2A0E21FA"/>
    <w:rsid w:val="2A3533FE"/>
    <w:rsid w:val="2A385615"/>
    <w:rsid w:val="2A3958C6"/>
    <w:rsid w:val="2A4E1688"/>
    <w:rsid w:val="2A5F582F"/>
    <w:rsid w:val="2A7228D5"/>
    <w:rsid w:val="2A7C2B9B"/>
    <w:rsid w:val="2A7D18F0"/>
    <w:rsid w:val="2AA12BE0"/>
    <w:rsid w:val="2AAC79AB"/>
    <w:rsid w:val="2AC57190"/>
    <w:rsid w:val="2B004385"/>
    <w:rsid w:val="2B076C06"/>
    <w:rsid w:val="2B123720"/>
    <w:rsid w:val="2B221942"/>
    <w:rsid w:val="2B367E21"/>
    <w:rsid w:val="2B4F70BA"/>
    <w:rsid w:val="2B515C27"/>
    <w:rsid w:val="2B552013"/>
    <w:rsid w:val="2B753642"/>
    <w:rsid w:val="2B9449A6"/>
    <w:rsid w:val="2B9C399C"/>
    <w:rsid w:val="2BBF1E6B"/>
    <w:rsid w:val="2BC2640D"/>
    <w:rsid w:val="2BD31A99"/>
    <w:rsid w:val="2C191723"/>
    <w:rsid w:val="2C1B38D8"/>
    <w:rsid w:val="2C586EF8"/>
    <w:rsid w:val="2C796279"/>
    <w:rsid w:val="2C7F6080"/>
    <w:rsid w:val="2CB270DF"/>
    <w:rsid w:val="2CB31288"/>
    <w:rsid w:val="2CF1529C"/>
    <w:rsid w:val="2CFD4002"/>
    <w:rsid w:val="2CFD7EAE"/>
    <w:rsid w:val="2D3017E1"/>
    <w:rsid w:val="2D3B714D"/>
    <w:rsid w:val="2D4367AA"/>
    <w:rsid w:val="2D4D3CE0"/>
    <w:rsid w:val="2DCD7453"/>
    <w:rsid w:val="2E071624"/>
    <w:rsid w:val="2E0A6DC1"/>
    <w:rsid w:val="2E303BDD"/>
    <w:rsid w:val="2E3D769E"/>
    <w:rsid w:val="2E400AFD"/>
    <w:rsid w:val="2E8C43FF"/>
    <w:rsid w:val="2E927354"/>
    <w:rsid w:val="2E9D25AE"/>
    <w:rsid w:val="2EA45A42"/>
    <w:rsid w:val="2EC74D07"/>
    <w:rsid w:val="2EE4662F"/>
    <w:rsid w:val="2EEE7E0B"/>
    <w:rsid w:val="2F1D6F28"/>
    <w:rsid w:val="2F2270F7"/>
    <w:rsid w:val="2F237917"/>
    <w:rsid w:val="2F2D6DC0"/>
    <w:rsid w:val="2F384A66"/>
    <w:rsid w:val="2F427720"/>
    <w:rsid w:val="2F471EB6"/>
    <w:rsid w:val="2F4D05E2"/>
    <w:rsid w:val="2F9E6D7E"/>
    <w:rsid w:val="2FDA1188"/>
    <w:rsid w:val="2FE402AC"/>
    <w:rsid w:val="2FF169BF"/>
    <w:rsid w:val="2FF955AB"/>
    <w:rsid w:val="301601A6"/>
    <w:rsid w:val="30296F62"/>
    <w:rsid w:val="30394BF4"/>
    <w:rsid w:val="303A5BAC"/>
    <w:rsid w:val="304114C1"/>
    <w:rsid w:val="304F162A"/>
    <w:rsid w:val="305F6F02"/>
    <w:rsid w:val="30816976"/>
    <w:rsid w:val="309537C1"/>
    <w:rsid w:val="30A50F9F"/>
    <w:rsid w:val="30ED439F"/>
    <w:rsid w:val="310C655D"/>
    <w:rsid w:val="311A01DC"/>
    <w:rsid w:val="3124063C"/>
    <w:rsid w:val="314C5739"/>
    <w:rsid w:val="31817F24"/>
    <w:rsid w:val="31B5698A"/>
    <w:rsid w:val="31C33276"/>
    <w:rsid w:val="31DB7817"/>
    <w:rsid w:val="31FA5002"/>
    <w:rsid w:val="32126859"/>
    <w:rsid w:val="321E39DD"/>
    <w:rsid w:val="323C423F"/>
    <w:rsid w:val="324E6D51"/>
    <w:rsid w:val="32525411"/>
    <w:rsid w:val="3253666E"/>
    <w:rsid w:val="327A0B49"/>
    <w:rsid w:val="328003FF"/>
    <w:rsid w:val="328014E5"/>
    <w:rsid w:val="32BC2837"/>
    <w:rsid w:val="32BD094E"/>
    <w:rsid w:val="32BD3253"/>
    <w:rsid w:val="32E71B45"/>
    <w:rsid w:val="33755271"/>
    <w:rsid w:val="33C03090"/>
    <w:rsid w:val="33DC06D0"/>
    <w:rsid w:val="340255C5"/>
    <w:rsid w:val="34156C26"/>
    <w:rsid w:val="3434111F"/>
    <w:rsid w:val="3468640B"/>
    <w:rsid w:val="34900E34"/>
    <w:rsid w:val="3498794F"/>
    <w:rsid w:val="349B14A1"/>
    <w:rsid w:val="34B03745"/>
    <w:rsid w:val="34C25C4D"/>
    <w:rsid w:val="34D4418C"/>
    <w:rsid w:val="35636EB1"/>
    <w:rsid w:val="35671D92"/>
    <w:rsid w:val="3583699B"/>
    <w:rsid w:val="35D30BCA"/>
    <w:rsid w:val="35F26FC0"/>
    <w:rsid w:val="36015455"/>
    <w:rsid w:val="361309F4"/>
    <w:rsid w:val="362C1393"/>
    <w:rsid w:val="3630122A"/>
    <w:rsid w:val="36394A20"/>
    <w:rsid w:val="365F1463"/>
    <w:rsid w:val="36AC7FC8"/>
    <w:rsid w:val="36AD4763"/>
    <w:rsid w:val="36C54587"/>
    <w:rsid w:val="36D573E2"/>
    <w:rsid w:val="37054AD1"/>
    <w:rsid w:val="37063069"/>
    <w:rsid w:val="371372E3"/>
    <w:rsid w:val="371A7820"/>
    <w:rsid w:val="37262A9E"/>
    <w:rsid w:val="375F7A4F"/>
    <w:rsid w:val="3788119E"/>
    <w:rsid w:val="37A87FF0"/>
    <w:rsid w:val="37AC1D17"/>
    <w:rsid w:val="37C329C2"/>
    <w:rsid w:val="38370F10"/>
    <w:rsid w:val="384277EC"/>
    <w:rsid w:val="3849251B"/>
    <w:rsid w:val="385E6B8E"/>
    <w:rsid w:val="3881688A"/>
    <w:rsid w:val="38920B1E"/>
    <w:rsid w:val="38BA70D3"/>
    <w:rsid w:val="38BF0C7B"/>
    <w:rsid w:val="38C65E3E"/>
    <w:rsid w:val="38C85FB1"/>
    <w:rsid w:val="38D87555"/>
    <w:rsid w:val="38DF4034"/>
    <w:rsid w:val="38DF530A"/>
    <w:rsid w:val="39047E05"/>
    <w:rsid w:val="391C6D95"/>
    <w:rsid w:val="392955A6"/>
    <w:rsid w:val="397211BF"/>
    <w:rsid w:val="399769DB"/>
    <w:rsid w:val="39D013C6"/>
    <w:rsid w:val="39D44CB8"/>
    <w:rsid w:val="39DA6EEC"/>
    <w:rsid w:val="39E645DA"/>
    <w:rsid w:val="3A032353"/>
    <w:rsid w:val="3A0E46DB"/>
    <w:rsid w:val="3A2A0051"/>
    <w:rsid w:val="3A2A1E70"/>
    <w:rsid w:val="3A42554D"/>
    <w:rsid w:val="3A4F478C"/>
    <w:rsid w:val="3A650389"/>
    <w:rsid w:val="3A655FB2"/>
    <w:rsid w:val="3AA111FB"/>
    <w:rsid w:val="3AB3003A"/>
    <w:rsid w:val="3AE26F68"/>
    <w:rsid w:val="3AF03F5E"/>
    <w:rsid w:val="3B1B7CE2"/>
    <w:rsid w:val="3B237844"/>
    <w:rsid w:val="3B2D45F6"/>
    <w:rsid w:val="3B365B3E"/>
    <w:rsid w:val="3B6D415C"/>
    <w:rsid w:val="3B75096C"/>
    <w:rsid w:val="3B7B265C"/>
    <w:rsid w:val="3B950B19"/>
    <w:rsid w:val="3BAB78B7"/>
    <w:rsid w:val="3BB50A05"/>
    <w:rsid w:val="3BD21AEB"/>
    <w:rsid w:val="3C0311DE"/>
    <w:rsid w:val="3C1C2446"/>
    <w:rsid w:val="3C364BFE"/>
    <w:rsid w:val="3C373C38"/>
    <w:rsid w:val="3C757A89"/>
    <w:rsid w:val="3C7B4F3A"/>
    <w:rsid w:val="3C9E759C"/>
    <w:rsid w:val="3CAF3A2D"/>
    <w:rsid w:val="3CC25A03"/>
    <w:rsid w:val="3CD4549F"/>
    <w:rsid w:val="3CD53A88"/>
    <w:rsid w:val="3CDC4B78"/>
    <w:rsid w:val="3CE31FBF"/>
    <w:rsid w:val="3CE375E2"/>
    <w:rsid w:val="3D053A7C"/>
    <w:rsid w:val="3D1C0E2D"/>
    <w:rsid w:val="3D1D2B74"/>
    <w:rsid w:val="3D20293D"/>
    <w:rsid w:val="3D366A5C"/>
    <w:rsid w:val="3D451A40"/>
    <w:rsid w:val="3D4B0183"/>
    <w:rsid w:val="3D4F2F4A"/>
    <w:rsid w:val="3D6C1BF6"/>
    <w:rsid w:val="3D793E5D"/>
    <w:rsid w:val="3D7A3396"/>
    <w:rsid w:val="3D8050A9"/>
    <w:rsid w:val="3D8764D1"/>
    <w:rsid w:val="3DB334D8"/>
    <w:rsid w:val="3DD6745B"/>
    <w:rsid w:val="3DDA6E81"/>
    <w:rsid w:val="3DDB3D7B"/>
    <w:rsid w:val="3DF65D2D"/>
    <w:rsid w:val="3E0066EF"/>
    <w:rsid w:val="3E1026D9"/>
    <w:rsid w:val="3E1653F5"/>
    <w:rsid w:val="3E1D5708"/>
    <w:rsid w:val="3E2954C8"/>
    <w:rsid w:val="3E366B7D"/>
    <w:rsid w:val="3E534560"/>
    <w:rsid w:val="3E76171C"/>
    <w:rsid w:val="3EA13410"/>
    <w:rsid w:val="3EA538AC"/>
    <w:rsid w:val="3EAE62CD"/>
    <w:rsid w:val="3EC314F9"/>
    <w:rsid w:val="3EC41D2B"/>
    <w:rsid w:val="3ECD1772"/>
    <w:rsid w:val="3EE45517"/>
    <w:rsid w:val="3EEF22EE"/>
    <w:rsid w:val="3F17092F"/>
    <w:rsid w:val="3F196E9D"/>
    <w:rsid w:val="3F487C50"/>
    <w:rsid w:val="3F4A0FFC"/>
    <w:rsid w:val="3F591A6C"/>
    <w:rsid w:val="3F627753"/>
    <w:rsid w:val="3F941F7A"/>
    <w:rsid w:val="3FB43D47"/>
    <w:rsid w:val="3FBB29B7"/>
    <w:rsid w:val="3FCE79A1"/>
    <w:rsid w:val="3FD158F6"/>
    <w:rsid w:val="3FE155DB"/>
    <w:rsid w:val="3FFD2BD5"/>
    <w:rsid w:val="40095FBB"/>
    <w:rsid w:val="403B39A1"/>
    <w:rsid w:val="403E51D0"/>
    <w:rsid w:val="407A02DD"/>
    <w:rsid w:val="408D7B90"/>
    <w:rsid w:val="40905214"/>
    <w:rsid w:val="40A539C1"/>
    <w:rsid w:val="40AD0BAB"/>
    <w:rsid w:val="40AD675D"/>
    <w:rsid w:val="40DE4649"/>
    <w:rsid w:val="411A48A0"/>
    <w:rsid w:val="411E2288"/>
    <w:rsid w:val="41333B9F"/>
    <w:rsid w:val="41387A11"/>
    <w:rsid w:val="41440E61"/>
    <w:rsid w:val="414C7ECC"/>
    <w:rsid w:val="41573EA6"/>
    <w:rsid w:val="415C1580"/>
    <w:rsid w:val="41802999"/>
    <w:rsid w:val="41844EC1"/>
    <w:rsid w:val="41B660CC"/>
    <w:rsid w:val="41F32E85"/>
    <w:rsid w:val="424E37D0"/>
    <w:rsid w:val="42693475"/>
    <w:rsid w:val="42962D80"/>
    <w:rsid w:val="429B7A5A"/>
    <w:rsid w:val="42B06C86"/>
    <w:rsid w:val="42DA1507"/>
    <w:rsid w:val="42DA5692"/>
    <w:rsid w:val="430622FC"/>
    <w:rsid w:val="430C5333"/>
    <w:rsid w:val="431C1F6D"/>
    <w:rsid w:val="43236353"/>
    <w:rsid w:val="43245E30"/>
    <w:rsid w:val="435941F1"/>
    <w:rsid w:val="436F70C6"/>
    <w:rsid w:val="43A5501F"/>
    <w:rsid w:val="43B05B2D"/>
    <w:rsid w:val="43EF4B3E"/>
    <w:rsid w:val="43FA46E4"/>
    <w:rsid w:val="44083F8A"/>
    <w:rsid w:val="445A0233"/>
    <w:rsid w:val="448C037C"/>
    <w:rsid w:val="448C6925"/>
    <w:rsid w:val="44C77071"/>
    <w:rsid w:val="44CD7CFC"/>
    <w:rsid w:val="44D95049"/>
    <w:rsid w:val="44DA54AD"/>
    <w:rsid w:val="44FA7C3F"/>
    <w:rsid w:val="45362F44"/>
    <w:rsid w:val="45484A8B"/>
    <w:rsid w:val="4568104C"/>
    <w:rsid w:val="45712A61"/>
    <w:rsid w:val="45911B0A"/>
    <w:rsid w:val="459A309A"/>
    <w:rsid w:val="45A1330C"/>
    <w:rsid w:val="45A36D18"/>
    <w:rsid w:val="45A82F95"/>
    <w:rsid w:val="45AD2F03"/>
    <w:rsid w:val="45BB73CE"/>
    <w:rsid w:val="45DF15C0"/>
    <w:rsid w:val="45EA380F"/>
    <w:rsid w:val="460B2433"/>
    <w:rsid w:val="464A13A8"/>
    <w:rsid w:val="466A33AB"/>
    <w:rsid w:val="469D79F9"/>
    <w:rsid w:val="46A1501D"/>
    <w:rsid w:val="46B16392"/>
    <w:rsid w:val="46BD2CD2"/>
    <w:rsid w:val="46C24429"/>
    <w:rsid w:val="46C42EA7"/>
    <w:rsid w:val="46C71A07"/>
    <w:rsid w:val="47091D7D"/>
    <w:rsid w:val="471843AC"/>
    <w:rsid w:val="47261C63"/>
    <w:rsid w:val="472A5A32"/>
    <w:rsid w:val="472F35DC"/>
    <w:rsid w:val="47371B62"/>
    <w:rsid w:val="47387B7F"/>
    <w:rsid w:val="474B4782"/>
    <w:rsid w:val="47980655"/>
    <w:rsid w:val="47BB36B5"/>
    <w:rsid w:val="47BC5A1F"/>
    <w:rsid w:val="47C41452"/>
    <w:rsid w:val="47D92F06"/>
    <w:rsid w:val="47E906FC"/>
    <w:rsid w:val="480C2163"/>
    <w:rsid w:val="481367CE"/>
    <w:rsid w:val="48307CC8"/>
    <w:rsid w:val="488C6E00"/>
    <w:rsid w:val="48B620CF"/>
    <w:rsid w:val="48BE07FD"/>
    <w:rsid w:val="48CD16B6"/>
    <w:rsid w:val="48D57834"/>
    <w:rsid w:val="48F37317"/>
    <w:rsid w:val="48F95A29"/>
    <w:rsid w:val="490A7553"/>
    <w:rsid w:val="490E708A"/>
    <w:rsid w:val="490F2A6E"/>
    <w:rsid w:val="491366E1"/>
    <w:rsid w:val="491D727B"/>
    <w:rsid w:val="49271BB3"/>
    <w:rsid w:val="49276B29"/>
    <w:rsid w:val="49430CF6"/>
    <w:rsid w:val="49467430"/>
    <w:rsid w:val="49556DEB"/>
    <w:rsid w:val="497C4F98"/>
    <w:rsid w:val="49C86887"/>
    <w:rsid w:val="49CA0260"/>
    <w:rsid w:val="49D94FA5"/>
    <w:rsid w:val="49E80B23"/>
    <w:rsid w:val="49F67674"/>
    <w:rsid w:val="4A066386"/>
    <w:rsid w:val="4A437992"/>
    <w:rsid w:val="4A58343D"/>
    <w:rsid w:val="4A7B66CE"/>
    <w:rsid w:val="4A8B356B"/>
    <w:rsid w:val="4AC7345B"/>
    <w:rsid w:val="4AE34A48"/>
    <w:rsid w:val="4AF218A7"/>
    <w:rsid w:val="4B243680"/>
    <w:rsid w:val="4B54710A"/>
    <w:rsid w:val="4B8C6ED1"/>
    <w:rsid w:val="4B8D6EE1"/>
    <w:rsid w:val="4B955F8C"/>
    <w:rsid w:val="4B981E9D"/>
    <w:rsid w:val="4BB505A8"/>
    <w:rsid w:val="4BC36DE3"/>
    <w:rsid w:val="4BD119BB"/>
    <w:rsid w:val="4BF173D0"/>
    <w:rsid w:val="4C09736F"/>
    <w:rsid w:val="4C333012"/>
    <w:rsid w:val="4C340D5F"/>
    <w:rsid w:val="4C802BD1"/>
    <w:rsid w:val="4CC13B34"/>
    <w:rsid w:val="4D0F66EF"/>
    <w:rsid w:val="4D1B2DC4"/>
    <w:rsid w:val="4D2A2E50"/>
    <w:rsid w:val="4D4374F0"/>
    <w:rsid w:val="4D4F29CF"/>
    <w:rsid w:val="4D640E59"/>
    <w:rsid w:val="4D6E6354"/>
    <w:rsid w:val="4D73058E"/>
    <w:rsid w:val="4D800F79"/>
    <w:rsid w:val="4D85571F"/>
    <w:rsid w:val="4D9160D8"/>
    <w:rsid w:val="4DB0533F"/>
    <w:rsid w:val="4DC50D8B"/>
    <w:rsid w:val="4DC55007"/>
    <w:rsid w:val="4DE00A81"/>
    <w:rsid w:val="4DE51179"/>
    <w:rsid w:val="4DEB3718"/>
    <w:rsid w:val="4E0C6D37"/>
    <w:rsid w:val="4E402B66"/>
    <w:rsid w:val="4E476C7B"/>
    <w:rsid w:val="4E645BA9"/>
    <w:rsid w:val="4E7D34EE"/>
    <w:rsid w:val="4E8A5B90"/>
    <w:rsid w:val="4EBF3246"/>
    <w:rsid w:val="4EC7504D"/>
    <w:rsid w:val="4EDC6B58"/>
    <w:rsid w:val="4EE33D49"/>
    <w:rsid w:val="4F1813ED"/>
    <w:rsid w:val="4F2204BE"/>
    <w:rsid w:val="4F3601E9"/>
    <w:rsid w:val="4F3941DE"/>
    <w:rsid w:val="4F4E2368"/>
    <w:rsid w:val="4F5C39D0"/>
    <w:rsid w:val="4F702155"/>
    <w:rsid w:val="4F9C3DCC"/>
    <w:rsid w:val="4FA9473B"/>
    <w:rsid w:val="4FD67A3D"/>
    <w:rsid w:val="4FE64478"/>
    <w:rsid w:val="4FEB592A"/>
    <w:rsid w:val="4FEF2674"/>
    <w:rsid w:val="4FF54FB8"/>
    <w:rsid w:val="4FF92A16"/>
    <w:rsid w:val="5006393C"/>
    <w:rsid w:val="50064916"/>
    <w:rsid w:val="501076B9"/>
    <w:rsid w:val="507225D8"/>
    <w:rsid w:val="507601F5"/>
    <w:rsid w:val="508D7BB9"/>
    <w:rsid w:val="50980707"/>
    <w:rsid w:val="50A0169A"/>
    <w:rsid w:val="50B5198E"/>
    <w:rsid w:val="50B82E88"/>
    <w:rsid w:val="50CE05EB"/>
    <w:rsid w:val="50D96BBA"/>
    <w:rsid w:val="50E04319"/>
    <w:rsid w:val="50F72301"/>
    <w:rsid w:val="51063BF4"/>
    <w:rsid w:val="51117FFC"/>
    <w:rsid w:val="511D718F"/>
    <w:rsid w:val="51275264"/>
    <w:rsid w:val="51387D39"/>
    <w:rsid w:val="514F30C0"/>
    <w:rsid w:val="515A6EFB"/>
    <w:rsid w:val="518F1809"/>
    <w:rsid w:val="519927B2"/>
    <w:rsid w:val="51B70807"/>
    <w:rsid w:val="51BD2447"/>
    <w:rsid w:val="51C12868"/>
    <w:rsid w:val="51D053F2"/>
    <w:rsid w:val="521E0DC7"/>
    <w:rsid w:val="521F4848"/>
    <w:rsid w:val="52222EE6"/>
    <w:rsid w:val="52390368"/>
    <w:rsid w:val="523D5CFA"/>
    <w:rsid w:val="525E180D"/>
    <w:rsid w:val="52661A74"/>
    <w:rsid w:val="527641C9"/>
    <w:rsid w:val="52770B21"/>
    <w:rsid w:val="52AB0F33"/>
    <w:rsid w:val="52B12946"/>
    <w:rsid w:val="52CD7125"/>
    <w:rsid w:val="52D31077"/>
    <w:rsid w:val="52D6062D"/>
    <w:rsid w:val="52DE43BD"/>
    <w:rsid w:val="52F61A46"/>
    <w:rsid w:val="53072765"/>
    <w:rsid w:val="5330393A"/>
    <w:rsid w:val="533267F6"/>
    <w:rsid w:val="536351C8"/>
    <w:rsid w:val="538B70B9"/>
    <w:rsid w:val="53B65679"/>
    <w:rsid w:val="53C90F08"/>
    <w:rsid w:val="53DB4ED4"/>
    <w:rsid w:val="53ED5867"/>
    <w:rsid w:val="53F3488E"/>
    <w:rsid w:val="546467E2"/>
    <w:rsid w:val="546A1E44"/>
    <w:rsid w:val="547370C6"/>
    <w:rsid w:val="548E21AB"/>
    <w:rsid w:val="54B81FB2"/>
    <w:rsid w:val="54CF6A99"/>
    <w:rsid w:val="54ED077E"/>
    <w:rsid w:val="54EE26C7"/>
    <w:rsid w:val="550F455C"/>
    <w:rsid w:val="55122AE6"/>
    <w:rsid w:val="55246D11"/>
    <w:rsid w:val="55260E02"/>
    <w:rsid w:val="55676C2B"/>
    <w:rsid w:val="556C3AF5"/>
    <w:rsid w:val="55723C95"/>
    <w:rsid w:val="558F1649"/>
    <w:rsid w:val="55A731C0"/>
    <w:rsid w:val="55D873EE"/>
    <w:rsid w:val="55E97640"/>
    <w:rsid w:val="55F474D4"/>
    <w:rsid w:val="563344A2"/>
    <w:rsid w:val="56503B63"/>
    <w:rsid w:val="566429CB"/>
    <w:rsid w:val="56700FD1"/>
    <w:rsid w:val="56866360"/>
    <w:rsid w:val="569B0154"/>
    <w:rsid w:val="56D67C1D"/>
    <w:rsid w:val="56E03E6F"/>
    <w:rsid w:val="56E950C2"/>
    <w:rsid w:val="56EB5639"/>
    <w:rsid w:val="56ED0BD9"/>
    <w:rsid w:val="56FB2FF0"/>
    <w:rsid w:val="570E6A7C"/>
    <w:rsid w:val="571B224F"/>
    <w:rsid w:val="5744192B"/>
    <w:rsid w:val="57666093"/>
    <w:rsid w:val="578F4FB7"/>
    <w:rsid w:val="57AE5E26"/>
    <w:rsid w:val="57B7082E"/>
    <w:rsid w:val="57DB40B5"/>
    <w:rsid w:val="57E37D1D"/>
    <w:rsid w:val="57FB5D50"/>
    <w:rsid w:val="57FF7945"/>
    <w:rsid w:val="58002A76"/>
    <w:rsid w:val="580805D6"/>
    <w:rsid w:val="580F3D6D"/>
    <w:rsid w:val="581806B0"/>
    <w:rsid w:val="5830187A"/>
    <w:rsid w:val="5839621E"/>
    <w:rsid w:val="58536B04"/>
    <w:rsid w:val="586178AF"/>
    <w:rsid w:val="589C6732"/>
    <w:rsid w:val="58BA6FB0"/>
    <w:rsid w:val="58BB2C6A"/>
    <w:rsid w:val="58CF4BF8"/>
    <w:rsid w:val="58D64EAD"/>
    <w:rsid w:val="58F26BC4"/>
    <w:rsid w:val="591C3269"/>
    <w:rsid w:val="5964651E"/>
    <w:rsid w:val="596925D0"/>
    <w:rsid w:val="59722AB7"/>
    <w:rsid w:val="597A3725"/>
    <w:rsid w:val="59827878"/>
    <w:rsid w:val="59855E63"/>
    <w:rsid w:val="599F1950"/>
    <w:rsid w:val="5A0A0493"/>
    <w:rsid w:val="5A1D0200"/>
    <w:rsid w:val="5A2450EA"/>
    <w:rsid w:val="5A4E55C6"/>
    <w:rsid w:val="5A590C8D"/>
    <w:rsid w:val="5A5F1706"/>
    <w:rsid w:val="5AA574D9"/>
    <w:rsid w:val="5AA75D1B"/>
    <w:rsid w:val="5AB81CD6"/>
    <w:rsid w:val="5ACF567A"/>
    <w:rsid w:val="5AEB596F"/>
    <w:rsid w:val="5B0034A6"/>
    <w:rsid w:val="5B0417F3"/>
    <w:rsid w:val="5B0F49D1"/>
    <w:rsid w:val="5B14337C"/>
    <w:rsid w:val="5B315238"/>
    <w:rsid w:val="5B6A2FD1"/>
    <w:rsid w:val="5B6D1183"/>
    <w:rsid w:val="5B85605C"/>
    <w:rsid w:val="5B94004E"/>
    <w:rsid w:val="5BC621D1"/>
    <w:rsid w:val="5BC775D5"/>
    <w:rsid w:val="5BE11727"/>
    <w:rsid w:val="5C2C1A02"/>
    <w:rsid w:val="5C3D2D79"/>
    <w:rsid w:val="5C48603A"/>
    <w:rsid w:val="5C6C509E"/>
    <w:rsid w:val="5C7318BB"/>
    <w:rsid w:val="5C777CFE"/>
    <w:rsid w:val="5C7B14AE"/>
    <w:rsid w:val="5C8B0812"/>
    <w:rsid w:val="5CA442C0"/>
    <w:rsid w:val="5CD0028E"/>
    <w:rsid w:val="5CEE6BE4"/>
    <w:rsid w:val="5CF36360"/>
    <w:rsid w:val="5CF57E06"/>
    <w:rsid w:val="5CFA17C2"/>
    <w:rsid w:val="5D0B1BDA"/>
    <w:rsid w:val="5D3E2EEB"/>
    <w:rsid w:val="5D513E64"/>
    <w:rsid w:val="5D5C20E3"/>
    <w:rsid w:val="5D665774"/>
    <w:rsid w:val="5D73211B"/>
    <w:rsid w:val="5DBB101C"/>
    <w:rsid w:val="5DBB5D65"/>
    <w:rsid w:val="5DE15326"/>
    <w:rsid w:val="5E287A3D"/>
    <w:rsid w:val="5E2C59AF"/>
    <w:rsid w:val="5E5C0956"/>
    <w:rsid w:val="5E5E394B"/>
    <w:rsid w:val="5E851992"/>
    <w:rsid w:val="5E8C4638"/>
    <w:rsid w:val="5E9D7D9E"/>
    <w:rsid w:val="5EB357DF"/>
    <w:rsid w:val="5EE14D96"/>
    <w:rsid w:val="5EE355D4"/>
    <w:rsid w:val="5EF534F9"/>
    <w:rsid w:val="5F0854F8"/>
    <w:rsid w:val="5F481880"/>
    <w:rsid w:val="5F54705F"/>
    <w:rsid w:val="5F871BF0"/>
    <w:rsid w:val="5FB34A79"/>
    <w:rsid w:val="5FC132DF"/>
    <w:rsid w:val="5FCA1B14"/>
    <w:rsid w:val="5FF83470"/>
    <w:rsid w:val="5FFE462F"/>
    <w:rsid w:val="5FFE756F"/>
    <w:rsid w:val="601209DB"/>
    <w:rsid w:val="604F563A"/>
    <w:rsid w:val="60610858"/>
    <w:rsid w:val="607E6464"/>
    <w:rsid w:val="60873E4D"/>
    <w:rsid w:val="60B60F2B"/>
    <w:rsid w:val="60C747FF"/>
    <w:rsid w:val="60FA3069"/>
    <w:rsid w:val="60FC0376"/>
    <w:rsid w:val="610209FC"/>
    <w:rsid w:val="61091FB2"/>
    <w:rsid w:val="610B0E9D"/>
    <w:rsid w:val="610B5765"/>
    <w:rsid w:val="614D7743"/>
    <w:rsid w:val="618B0DDF"/>
    <w:rsid w:val="618F26DD"/>
    <w:rsid w:val="618F4891"/>
    <w:rsid w:val="61975109"/>
    <w:rsid w:val="61A302A1"/>
    <w:rsid w:val="61D32495"/>
    <w:rsid w:val="61E00196"/>
    <w:rsid w:val="61EC4AF4"/>
    <w:rsid w:val="61F920C2"/>
    <w:rsid w:val="62200DC2"/>
    <w:rsid w:val="622B683C"/>
    <w:rsid w:val="623E0D13"/>
    <w:rsid w:val="624B4D0E"/>
    <w:rsid w:val="62756482"/>
    <w:rsid w:val="629A0452"/>
    <w:rsid w:val="62B9215C"/>
    <w:rsid w:val="62BF1A54"/>
    <w:rsid w:val="62E249C2"/>
    <w:rsid w:val="62E53885"/>
    <w:rsid w:val="62F01F3A"/>
    <w:rsid w:val="62F84D6F"/>
    <w:rsid w:val="630A4586"/>
    <w:rsid w:val="630F445E"/>
    <w:rsid w:val="6361115D"/>
    <w:rsid w:val="636257AD"/>
    <w:rsid w:val="63660521"/>
    <w:rsid w:val="63681F30"/>
    <w:rsid w:val="63741D52"/>
    <w:rsid w:val="637F778A"/>
    <w:rsid w:val="6384762F"/>
    <w:rsid w:val="638E3E65"/>
    <w:rsid w:val="63E92F01"/>
    <w:rsid w:val="63EB0BD2"/>
    <w:rsid w:val="64100941"/>
    <w:rsid w:val="64103FDE"/>
    <w:rsid w:val="642D2061"/>
    <w:rsid w:val="643136DE"/>
    <w:rsid w:val="64513B3F"/>
    <w:rsid w:val="645379B3"/>
    <w:rsid w:val="6456695B"/>
    <w:rsid w:val="64861737"/>
    <w:rsid w:val="648900B2"/>
    <w:rsid w:val="64A71349"/>
    <w:rsid w:val="64BE25DF"/>
    <w:rsid w:val="64CF0610"/>
    <w:rsid w:val="64D060C5"/>
    <w:rsid w:val="650A5824"/>
    <w:rsid w:val="653347E7"/>
    <w:rsid w:val="6547682B"/>
    <w:rsid w:val="655F1CE8"/>
    <w:rsid w:val="657934A1"/>
    <w:rsid w:val="65824A11"/>
    <w:rsid w:val="65867851"/>
    <w:rsid w:val="65CD2906"/>
    <w:rsid w:val="65CE1533"/>
    <w:rsid w:val="65DE6640"/>
    <w:rsid w:val="65F53CC9"/>
    <w:rsid w:val="6602593F"/>
    <w:rsid w:val="660A5ADC"/>
    <w:rsid w:val="6610484D"/>
    <w:rsid w:val="661A5B95"/>
    <w:rsid w:val="662E33AE"/>
    <w:rsid w:val="66302F5F"/>
    <w:rsid w:val="66376453"/>
    <w:rsid w:val="6638100B"/>
    <w:rsid w:val="664458F3"/>
    <w:rsid w:val="66500A21"/>
    <w:rsid w:val="66742F55"/>
    <w:rsid w:val="667455DD"/>
    <w:rsid w:val="66844EF1"/>
    <w:rsid w:val="668936A1"/>
    <w:rsid w:val="66BD7150"/>
    <w:rsid w:val="66C67B74"/>
    <w:rsid w:val="66C94769"/>
    <w:rsid w:val="66D45589"/>
    <w:rsid w:val="66D81697"/>
    <w:rsid w:val="66E45ED6"/>
    <w:rsid w:val="66FA699F"/>
    <w:rsid w:val="67073329"/>
    <w:rsid w:val="67124707"/>
    <w:rsid w:val="671E589B"/>
    <w:rsid w:val="67357CAC"/>
    <w:rsid w:val="673C262B"/>
    <w:rsid w:val="67423054"/>
    <w:rsid w:val="67424E02"/>
    <w:rsid w:val="674A1F08"/>
    <w:rsid w:val="6755784A"/>
    <w:rsid w:val="6758518E"/>
    <w:rsid w:val="67617E05"/>
    <w:rsid w:val="67772683"/>
    <w:rsid w:val="67813A67"/>
    <w:rsid w:val="67AD37D7"/>
    <w:rsid w:val="67B1600D"/>
    <w:rsid w:val="67D13787"/>
    <w:rsid w:val="67D1781D"/>
    <w:rsid w:val="680275B8"/>
    <w:rsid w:val="680C14CF"/>
    <w:rsid w:val="680E73DA"/>
    <w:rsid w:val="688A6271"/>
    <w:rsid w:val="689269B1"/>
    <w:rsid w:val="68B53887"/>
    <w:rsid w:val="68D45F2D"/>
    <w:rsid w:val="68E83D88"/>
    <w:rsid w:val="69011987"/>
    <w:rsid w:val="6909656B"/>
    <w:rsid w:val="690B09BA"/>
    <w:rsid w:val="69522693"/>
    <w:rsid w:val="695C436B"/>
    <w:rsid w:val="69A05FA6"/>
    <w:rsid w:val="69BA5607"/>
    <w:rsid w:val="69D60928"/>
    <w:rsid w:val="69DC6C3C"/>
    <w:rsid w:val="6A10339D"/>
    <w:rsid w:val="6A1F58CE"/>
    <w:rsid w:val="6A2D4FE0"/>
    <w:rsid w:val="6A2E3AB3"/>
    <w:rsid w:val="6A726F03"/>
    <w:rsid w:val="6A832688"/>
    <w:rsid w:val="6A8417A4"/>
    <w:rsid w:val="6A8425BB"/>
    <w:rsid w:val="6A8B4D12"/>
    <w:rsid w:val="6ACA583A"/>
    <w:rsid w:val="6B1872DB"/>
    <w:rsid w:val="6B2838AD"/>
    <w:rsid w:val="6B2D0090"/>
    <w:rsid w:val="6B3034EE"/>
    <w:rsid w:val="6B3406B0"/>
    <w:rsid w:val="6B3E596F"/>
    <w:rsid w:val="6B51525F"/>
    <w:rsid w:val="6B534F01"/>
    <w:rsid w:val="6B545A75"/>
    <w:rsid w:val="6B685F19"/>
    <w:rsid w:val="6B7C5956"/>
    <w:rsid w:val="6BA4007F"/>
    <w:rsid w:val="6BA40B10"/>
    <w:rsid w:val="6BA63A35"/>
    <w:rsid w:val="6BA91C26"/>
    <w:rsid w:val="6BB36F8D"/>
    <w:rsid w:val="6BBB6499"/>
    <w:rsid w:val="6C092392"/>
    <w:rsid w:val="6C3C37C8"/>
    <w:rsid w:val="6C4D0610"/>
    <w:rsid w:val="6C535816"/>
    <w:rsid w:val="6C8163CC"/>
    <w:rsid w:val="6C8859AD"/>
    <w:rsid w:val="6CCC3ABC"/>
    <w:rsid w:val="6CD025DE"/>
    <w:rsid w:val="6CD56621"/>
    <w:rsid w:val="6CD9607C"/>
    <w:rsid w:val="6CFA6763"/>
    <w:rsid w:val="6D1640C1"/>
    <w:rsid w:val="6D174CB1"/>
    <w:rsid w:val="6D1D48D1"/>
    <w:rsid w:val="6D43002C"/>
    <w:rsid w:val="6D4D6B3C"/>
    <w:rsid w:val="6D7A5D95"/>
    <w:rsid w:val="6DA2484C"/>
    <w:rsid w:val="6DB45A80"/>
    <w:rsid w:val="6DDA3867"/>
    <w:rsid w:val="6E025669"/>
    <w:rsid w:val="6E313E22"/>
    <w:rsid w:val="6E4476B1"/>
    <w:rsid w:val="6E820674"/>
    <w:rsid w:val="6E885722"/>
    <w:rsid w:val="6E8E4D2C"/>
    <w:rsid w:val="6E903D81"/>
    <w:rsid w:val="6E953005"/>
    <w:rsid w:val="6E9E0FB9"/>
    <w:rsid w:val="6EA25F40"/>
    <w:rsid w:val="6EB0547A"/>
    <w:rsid w:val="6EB17F1C"/>
    <w:rsid w:val="6EDB0894"/>
    <w:rsid w:val="6F010398"/>
    <w:rsid w:val="6F0B23E7"/>
    <w:rsid w:val="6F224AE4"/>
    <w:rsid w:val="6F242979"/>
    <w:rsid w:val="6F323337"/>
    <w:rsid w:val="6F5B4E0F"/>
    <w:rsid w:val="6F9E1118"/>
    <w:rsid w:val="6FA74014"/>
    <w:rsid w:val="6FAE5D4A"/>
    <w:rsid w:val="6FEF7861"/>
    <w:rsid w:val="70147557"/>
    <w:rsid w:val="7017617F"/>
    <w:rsid w:val="703A0770"/>
    <w:rsid w:val="704C4F43"/>
    <w:rsid w:val="705A7660"/>
    <w:rsid w:val="705D7D66"/>
    <w:rsid w:val="706046B4"/>
    <w:rsid w:val="70640B75"/>
    <w:rsid w:val="70681583"/>
    <w:rsid w:val="708210C3"/>
    <w:rsid w:val="708663CC"/>
    <w:rsid w:val="70BB5B8D"/>
    <w:rsid w:val="70C56C1F"/>
    <w:rsid w:val="70D51E8F"/>
    <w:rsid w:val="70FF3D63"/>
    <w:rsid w:val="71017ADB"/>
    <w:rsid w:val="71031E31"/>
    <w:rsid w:val="71217886"/>
    <w:rsid w:val="71285068"/>
    <w:rsid w:val="71706DFB"/>
    <w:rsid w:val="71860848"/>
    <w:rsid w:val="718B7904"/>
    <w:rsid w:val="71994360"/>
    <w:rsid w:val="71B726E3"/>
    <w:rsid w:val="71C63FB4"/>
    <w:rsid w:val="71EB148C"/>
    <w:rsid w:val="71F10901"/>
    <w:rsid w:val="72096DC8"/>
    <w:rsid w:val="72161ECB"/>
    <w:rsid w:val="722348BF"/>
    <w:rsid w:val="722449B2"/>
    <w:rsid w:val="724935F3"/>
    <w:rsid w:val="72516ABB"/>
    <w:rsid w:val="72576FF5"/>
    <w:rsid w:val="725D437C"/>
    <w:rsid w:val="72723083"/>
    <w:rsid w:val="727C5038"/>
    <w:rsid w:val="7284659E"/>
    <w:rsid w:val="729D3689"/>
    <w:rsid w:val="72AE5A41"/>
    <w:rsid w:val="72B87961"/>
    <w:rsid w:val="72D52ECA"/>
    <w:rsid w:val="72D82ABE"/>
    <w:rsid w:val="72E910C6"/>
    <w:rsid w:val="72FB1A62"/>
    <w:rsid w:val="730B4BFB"/>
    <w:rsid w:val="732D370C"/>
    <w:rsid w:val="733B1CD4"/>
    <w:rsid w:val="73400FDE"/>
    <w:rsid w:val="735B752E"/>
    <w:rsid w:val="736A5E0C"/>
    <w:rsid w:val="7378366F"/>
    <w:rsid w:val="73A01FB4"/>
    <w:rsid w:val="73A8778E"/>
    <w:rsid w:val="73A932C3"/>
    <w:rsid w:val="73AE0CC1"/>
    <w:rsid w:val="73C64A19"/>
    <w:rsid w:val="73EE6FDA"/>
    <w:rsid w:val="73F45D0B"/>
    <w:rsid w:val="73F71FD2"/>
    <w:rsid w:val="740861F5"/>
    <w:rsid w:val="740873D4"/>
    <w:rsid w:val="743B3AA9"/>
    <w:rsid w:val="74493089"/>
    <w:rsid w:val="74534AF2"/>
    <w:rsid w:val="745515F0"/>
    <w:rsid w:val="745D6469"/>
    <w:rsid w:val="74600B1F"/>
    <w:rsid w:val="74684B26"/>
    <w:rsid w:val="7476613B"/>
    <w:rsid w:val="74A9577D"/>
    <w:rsid w:val="74C608B6"/>
    <w:rsid w:val="74CC0A84"/>
    <w:rsid w:val="75233ABC"/>
    <w:rsid w:val="752D043E"/>
    <w:rsid w:val="752F6F6B"/>
    <w:rsid w:val="756B4315"/>
    <w:rsid w:val="757525BC"/>
    <w:rsid w:val="75794B8B"/>
    <w:rsid w:val="759726C4"/>
    <w:rsid w:val="75B850ED"/>
    <w:rsid w:val="75E83EDB"/>
    <w:rsid w:val="75ED4AD2"/>
    <w:rsid w:val="75FC18A3"/>
    <w:rsid w:val="76114840"/>
    <w:rsid w:val="762E40AD"/>
    <w:rsid w:val="76322B22"/>
    <w:rsid w:val="764B5FED"/>
    <w:rsid w:val="765D451D"/>
    <w:rsid w:val="765E21A3"/>
    <w:rsid w:val="765E566B"/>
    <w:rsid w:val="76720442"/>
    <w:rsid w:val="76761582"/>
    <w:rsid w:val="767E7098"/>
    <w:rsid w:val="767F32E9"/>
    <w:rsid w:val="76817D2E"/>
    <w:rsid w:val="768C32FD"/>
    <w:rsid w:val="76AF343F"/>
    <w:rsid w:val="76B32C6C"/>
    <w:rsid w:val="76C0537D"/>
    <w:rsid w:val="76D53641"/>
    <w:rsid w:val="76DA1073"/>
    <w:rsid w:val="76DD68F5"/>
    <w:rsid w:val="76F333F5"/>
    <w:rsid w:val="76FA1471"/>
    <w:rsid w:val="771438C4"/>
    <w:rsid w:val="7718087D"/>
    <w:rsid w:val="773A07ED"/>
    <w:rsid w:val="77E54ADE"/>
    <w:rsid w:val="780A1E09"/>
    <w:rsid w:val="781878E6"/>
    <w:rsid w:val="7840538D"/>
    <w:rsid w:val="784477CE"/>
    <w:rsid w:val="786664DB"/>
    <w:rsid w:val="78A61BB4"/>
    <w:rsid w:val="78CD1C75"/>
    <w:rsid w:val="78FF6F8C"/>
    <w:rsid w:val="791D6701"/>
    <w:rsid w:val="792A6AC8"/>
    <w:rsid w:val="792D1E94"/>
    <w:rsid w:val="796003F0"/>
    <w:rsid w:val="796432FD"/>
    <w:rsid w:val="79685BC9"/>
    <w:rsid w:val="798D4508"/>
    <w:rsid w:val="79A31C0B"/>
    <w:rsid w:val="79C35304"/>
    <w:rsid w:val="79D20EC8"/>
    <w:rsid w:val="79D21886"/>
    <w:rsid w:val="7A042735"/>
    <w:rsid w:val="7A0C3794"/>
    <w:rsid w:val="7A214F5A"/>
    <w:rsid w:val="7A4D03D1"/>
    <w:rsid w:val="7A6510DB"/>
    <w:rsid w:val="7A8E3CFF"/>
    <w:rsid w:val="7AA83292"/>
    <w:rsid w:val="7AB5063B"/>
    <w:rsid w:val="7ABC08B2"/>
    <w:rsid w:val="7AC834A5"/>
    <w:rsid w:val="7AD94931"/>
    <w:rsid w:val="7AEF4E49"/>
    <w:rsid w:val="7AFB334B"/>
    <w:rsid w:val="7B242D44"/>
    <w:rsid w:val="7B6F092E"/>
    <w:rsid w:val="7B703B39"/>
    <w:rsid w:val="7B840315"/>
    <w:rsid w:val="7B8942AE"/>
    <w:rsid w:val="7B9F227B"/>
    <w:rsid w:val="7BD01338"/>
    <w:rsid w:val="7BD03EBC"/>
    <w:rsid w:val="7BED75DA"/>
    <w:rsid w:val="7BF174F8"/>
    <w:rsid w:val="7C0559D8"/>
    <w:rsid w:val="7C09018C"/>
    <w:rsid w:val="7C0B6013"/>
    <w:rsid w:val="7C0D0F4B"/>
    <w:rsid w:val="7C456C7B"/>
    <w:rsid w:val="7C841086"/>
    <w:rsid w:val="7CAE0090"/>
    <w:rsid w:val="7CBD008D"/>
    <w:rsid w:val="7CC100F6"/>
    <w:rsid w:val="7CC2259C"/>
    <w:rsid w:val="7CC56F9A"/>
    <w:rsid w:val="7CDF7239"/>
    <w:rsid w:val="7CF16C38"/>
    <w:rsid w:val="7CF40424"/>
    <w:rsid w:val="7D034440"/>
    <w:rsid w:val="7D0432BC"/>
    <w:rsid w:val="7D084278"/>
    <w:rsid w:val="7D1C7A4B"/>
    <w:rsid w:val="7D1E37C3"/>
    <w:rsid w:val="7D1F38E4"/>
    <w:rsid w:val="7D1F77B0"/>
    <w:rsid w:val="7D563294"/>
    <w:rsid w:val="7D5B57DD"/>
    <w:rsid w:val="7D5B67C5"/>
    <w:rsid w:val="7D750C17"/>
    <w:rsid w:val="7D846323"/>
    <w:rsid w:val="7DA41F1A"/>
    <w:rsid w:val="7DAD7E1C"/>
    <w:rsid w:val="7DAE106C"/>
    <w:rsid w:val="7DB521DD"/>
    <w:rsid w:val="7DE16B6F"/>
    <w:rsid w:val="7E186A15"/>
    <w:rsid w:val="7E496B4A"/>
    <w:rsid w:val="7E7B3EA0"/>
    <w:rsid w:val="7EB34324"/>
    <w:rsid w:val="7EB72493"/>
    <w:rsid w:val="7EBC7738"/>
    <w:rsid w:val="7EC26419"/>
    <w:rsid w:val="7EE9753E"/>
    <w:rsid w:val="7EF54F55"/>
    <w:rsid w:val="7EF67145"/>
    <w:rsid w:val="7F032C71"/>
    <w:rsid w:val="7F094C3E"/>
    <w:rsid w:val="7F0E15BE"/>
    <w:rsid w:val="7F1448DD"/>
    <w:rsid w:val="7F313C82"/>
    <w:rsid w:val="7F6857D4"/>
    <w:rsid w:val="7F85020E"/>
    <w:rsid w:val="7F8E7B64"/>
    <w:rsid w:val="7F954211"/>
    <w:rsid w:val="7FA84513"/>
    <w:rsid w:val="7FCC5654"/>
    <w:rsid w:val="7FD2627C"/>
    <w:rsid w:val="7FE9455C"/>
    <w:rsid w:val="7FEC1505"/>
    <w:rsid w:val="7FFE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3"/>
    <w:link w:val="46"/>
    <w:qFormat/>
    <w:uiPriority w:val="9"/>
    <w:pPr>
      <w:suppressAutoHyphens/>
      <w:spacing w:before="240" w:after="120" w:line="360" w:lineRule="auto"/>
      <w:ind w:left="283" w:hanging="283"/>
      <w:outlineLvl w:val="0"/>
    </w:pPr>
    <w:rPr>
      <w:rFonts w:ascii="Arial" w:hAnsi="Arial"/>
      <w:b/>
      <w:kern w:val="1"/>
      <w:sz w:val="24"/>
      <w:szCs w:val="20"/>
      <w:lang w:eastAsia="hi-IN" w:bidi="hi-IN"/>
    </w:rPr>
  </w:style>
  <w:style w:type="paragraph" w:styleId="4">
    <w:name w:val="heading 2"/>
    <w:basedOn w:val="1"/>
    <w:next w:val="1"/>
    <w:link w:val="3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37"/>
    <w:unhideWhenUsed/>
    <w:qFormat/>
    <w:uiPriority w:val="9"/>
    <w:pPr>
      <w:keepNext/>
      <w:keepLines/>
      <w:spacing w:before="260" w:after="260" w:line="416" w:lineRule="auto"/>
      <w:outlineLvl w:val="2"/>
    </w:pPr>
    <w:rPr>
      <w:rFonts w:ascii="宋体" w:hAnsi="宋体"/>
      <w:b/>
      <w:bCs/>
      <w:sz w:val="32"/>
      <w:szCs w:val="32"/>
    </w:rPr>
  </w:style>
  <w:style w:type="paragraph" w:styleId="6">
    <w:name w:val="heading 4"/>
    <w:link w:val="38"/>
    <w:semiHidden/>
    <w:unhideWhenUsed/>
    <w:qFormat/>
    <w:uiPriority w:val="9"/>
    <w:pPr>
      <w:outlineLvl w:val="3"/>
    </w:pPr>
    <w:rPr>
      <w:rFonts w:ascii="Times New Roman" w:hAnsi="Times New Roman" w:cs="Times New Roman" w:eastAsiaTheme="minorEastAsia"/>
      <w:b/>
      <w:bCs/>
      <w:color w:val="000000"/>
      <w:sz w:val="28"/>
      <w:szCs w:val="28"/>
      <w:lang w:val="en-US" w:eastAsia="zh-CN" w:bidi="ar-SA"/>
    </w:rPr>
  </w:style>
  <w:style w:type="paragraph" w:styleId="7">
    <w:name w:val="heading 5"/>
    <w:link w:val="39"/>
    <w:semiHidden/>
    <w:unhideWhenUsed/>
    <w:qFormat/>
    <w:uiPriority w:val="9"/>
    <w:pPr>
      <w:outlineLvl w:val="4"/>
    </w:pPr>
    <w:rPr>
      <w:rFonts w:ascii="Times New Roman" w:hAnsi="Times New Roman" w:cs="Times New Roman" w:eastAsiaTheme="minorEastAsia"/>
      <w:b/>
      <w:bCs/>
      <w:color w:val="000000"/>
      <w:sz w:val="24"/>
      <w:szCs w:val="24"/>
      <w:lang w:val="en-US" w:eastAsia="zh-CN" w:bidi="ar-SA"/>
    </w:rPr>
  </w:style>
  <w:style w:type="paragraph" w:styleId="8">
    <w:name w:val="heading 6"/>
    <w:link w:val="40"/>
    <w:semiHidden/>
    <w:unhideWhenUsed/>
    <w:qFormat/>
    <w:uiPriority w:val="9"/>
    <w:pPr>
      <w:outlineLvl w:val="5"/>
    </w:pPr>
    <w:rPr>
      <w:rFonts w:ascii="Times New Roman" w:hAnsi="Times New Roman" w:cs="Times New Roman" w:eastAsiaTheme="minorEastAsia"/>
      <w:b/>
      <w:bCs/>
      <w:color w:val="000000"/>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Body Text"/>
    <w:basedOn w:val="1"/>
    <w:unhideWhenUsed/>
    <w:qFormat/>
    <w:uiPriority w:val="99"/>
    <w:pPr>
      <w:spacing w:after="120"/>
    </w:pPr>
  </w:style>
  <w:style w:type="paragraph" w:styleId="9">
    <w:name w:val="annotation text"/>
    <w:basedOn w:val="1"/>
    <w:unhideWhenUsed/>
    <w:qFormat/>
    <w:uiPriority w:val="99"/>
    <w:pPr>
      <w:jc w:val="left"/>
    </w:pPr>
  </w:style>
  <w:style w:type="paragraph" w:styleId="10">
    <w:name w:val="footer"/>
    <w:basedOn w:val="1"/>
    <w:unhideWhenUsed/>
    <w:qFormat/>
    <w:uiPriority w:val="99"/>
    <w:pPr>
      <w:tabs>
        <w:tab w:val="center" w:pos="4153"/>
        <w:tab w:val="right" w:pos="8306"/>
      </w:tabs>
      <w:snapToGrid w:val="0"/>
      <w:jc w:val="left"/>
    </w:pPr>
    <w:rPr>
      <w:sz w:val="18"/>
    </w:rPr>
  </w:style>
  <w:style w:type="paragraph" w:styleId="11">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footnote text"/>
    <w:link w:val="45"/>
    <w:semiHidden/>
    <w:unhideWhenUsed/>
    <w:qFormat/>
    <w:uiPriority w:val="99"/>
    <w:rPr>
      <w:rFonts w:ascii="Times New Roman" w:hAnsi="Times New Roman" w:cs="Times New Roman" w:eastAsiaTheme="minorEastAsia"/>
      <w:lang w:val="en-US" w:eastAsia="zh-CN" w:bidi="ar-SA"/>
    </w:rPr>
  </w:style>
  <w:style w:type="paragraph" w:styleId="13">
    <w:name w:val="Normal (Web)"/>
    <w:basedOn w:val="1"/>
    <w:unhideWhenUsed/>
    <w:qFormat/>
    <w:uiPriority w:val="99"/>
    <w:rPr>
      <w:sz w:val="24"/>
    </w:rPr>
  </w:style>
  <w:style w:type="paragraph" w:styleId="14">
    <w:name w:val="Title"/>
    <w:link w:val="42"/>
    <w:qFormat/>
    <w:uiPriority w:val="10"/>
    <w:rPr>
      <w:rFonts w:ascii="Times New Roman" w:hAnsi="Times New Roman" w:cs="Times New Roman" w:eastAsiaTheme="minorEastAsia"/>
      <w:sz w:val="56"/>
      <w:szCs w:val="56"/>
      <w:lang w:val="en-US" w:eastAsia="zh-CN" w:bidi="ar-SA"/>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mphasis"/>
    <w:basedOn w:val="17"/>
    <w:qFormat/>
    <w:uiPriority w:val="20"/>
    <w:rPr>
      <w:i/>
      <w:iCs/>
    </w:rPr>
  </w:style>
  <w:style w:type="character" w:styleId="19">
    <w:name w:val="Hyperlink"/>
    <w:basedOn w:val="17"/>
    <w:unhideWhenUsed/>
    <w:qFormat/>
    <w:uiPriority w:val="99"/>
    <w:rPr>
      <w:color w:val="0000FF"/>
      <w:u w:val="single"/>
    </w:rPr>
  </w:style>
  <w:style w:type="character" w:styleId="20">
    <w:name w:val="annotation reference"/>
    <w:basedOn w:val="17"/>
    <w:semiHidden/>
    <w:unhideWhenUsed/>
    <w:qFormat/>
    <w:uiPriority w:val="99"/>
    <w:rPr>
      <w:sz w:val="21"/>
      <w:szCs w:val="21"/>
    </w:rPr>
  </w:style>
  <w:style w:type="character" w:styleId="21">
    <w:name w:val="footnote reference"/>
    <w:semiHidden/>
    <w:unhideWhenUsed/>
    <w:qFormat/>
    <w:uiPriority w:val="99"/>
    <w:rPr>
      <w:vertAlign w:val="superscript"/>
    </w:rPr>
  </w:style>
  <w:style w:type="paragraph" w:customStyle="1" w:styleId="22">
    <w:name w:val="?y??????????????¡§??????o?????????????¨¬????????????????¡§?????|DD????"/>
    <w:basedOn w:val="1"/>
    <w:qFormat/>
    <w:uiPriority w:val="0"/>
    <w:pPr>
      <w:widowControl/>
      <w:overflowPunct w:val="0"/>
      <w:autoSpaceDE w:val="0"/>
      <w:autoSpaceDN w:val="0"/>
      <w:adjustRightInd w:val="0"/>
      <w:spacing w:line="360" w:lineRule="auto"/>
      <w:ind w:firstLine="425"/>
      <w:textAlignment w:val="baseline"/>
    </w:pPr>
    <w:rPr>
      <w:kern w:val="0"/>
      <w:szCs w:val="20"/>
    </w:rPr>
  </w:style>
  <w:style w:type="paragraph" w:customStyle="1" w:styleId="23">
    <w:name w:val="研究生姓名"/>
    <w:basedOn w:val="1"/>
    <w:qFormat/>
    <w:uiPriority w:val="0"/>
    <w:pPr>
      <w:ind w:firstLine="700" w:firstLineChars="700"/>
    </w:pPr>
    <w:rPr>
      <w:rFonts w:ascii="Times New Roman" w:hAnsi="Times New Roman"/>
      <w:sz w:val="28"/>
      <w:szCs w:val="28"/>
    </w:rPr>
  </w:style>
  <w:style w:type="paragraph" w:customStyle="1" w:styleId="24">
    <w:name w:val="论文标题"/>
    <w:basedOn w:val="1"/>
    <w:qFormat/>
    <w:uiPriority w:val="0"/>
    <w:pPr>
      <w:jc w:val="center"/>
    </w:pPr>
    <w:rPr>
      <w:rFonts w:ascii="Times New Roman" w:hAnsi="Times New Roman" w:eastAsia="楷体_GB2312"/>
      <w:b/>
      <w:kern w:val="36"/>
      <w:sz w:val="52"/>
      <w:szCs w:val="52"/>
    </w:rPr>
  </w:style>
  <w:style w:type="paragraph" w:customStyle="1" w:styleId="25">
    <w:name w:val="分类号"/>
    <w:basedOn w:val="1"/>
    <w:qFormat/>
    <w:uiPriority w:val="0"/>
    <w:rPr>
      <w:rFonts w:ascii="仿宋_GB2312" w:hAnsi="Times New Roman" w:eastAsia="仿宋_GB2312"/>
      <w:sz w:val="28"/>
      <w:szCs w:val="28"/>
    </w:rPr>
  </w:style>
  <w:style w:type="paragraph" w:customStyle="1" w:styleId="26">
    <w:name w:val="封面日期"/>
    <w:basedOn w:val="1"/>
    <w:qFormat/>
    <w:uiPriority w:val="0"/>
    <w:pPr>
      <w:jc w:val="center"/>
    </w:pPr>
    <w:rPr>
      <w:rFonts w:ascii="黑体" w:hAnsi="Times New Roman" w:eastAsia="黑体"/>
      <w:sz w:val="32"/>
      <w:szCs w:val="32"/>
    </w:rPr>
  </w:style>
  <w:style w:type="paragraph" w:customStyle="1" w:styleId="27">
    <w:name w:val="????????????¡§??????????????????¡§???????????????????¨¬????????????????¡§???????????????¡§?????????????????¡§??????o????????????????¨¬????????????????¡§???????????????¡§??????"/>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28">
    <w:name w:val="????????¡§????????????¡§?????????????¨¬??????????¡§?????????¡§???????????¡§????o????????????¨¬??????????¡§?????????¡§????"/>
    <w:basedOn w:val="1"/>
    <w:qFormat/>
    <w:uiPriority w:val="0"/>
    <w:pPr>
      <w:widowControl/>
      <w:suppressAutoHyphens/>
      <w:jc w:val="left"/>
    </w:pPr>
    <w:rPr>
      <w:kern w:val="1"/>
      <w:sz w:val="24"/>
      <w:szCs w:val="20"/>
      <w:lang w:eastAsia="hi-IN" w:bidi="hi-IN"/>
    </w:rPr>
  </w:style>
  <w:style w:type="paragraph" w:customStyle="1" w:styleId="29">
    <w:name w:val="缺省文本"/>
    <w:basedOn w:val="1"/>
    <w:qFormat/>
    <w:uiPriority w:val="0"/>
    <w:pPr>
      <w:suppressAutoHyphens/>
      <w:spacing w:line="360" w:lineRule="auto"/>
      <w:jc w:val="left"/>
    </w:pPr>
    <w:rPr>
      <w:kern w:val="1"/>
      <w:sz w:val="24"/>
      <w:szCs w:val="20"/>
      <w:lang w:eastAsia="hi-IN" w:bidi="hi-IN"/>
    </w:rPr>
  </w:style>
  <w:style w:type="paragraph" w:customStyle="1" w:styleId="30">
    <w:name w:val="硕士学位论文"/>
    <w:basedOn w:val="1"/>
    <w:qFormat/>
    <w:uiPriority w:val="0"/>
    <w:pPr>
      <w:spacing w:before="240"/>
      <w:jc w:val="center"/>
    </w:pPr>
    <w:rPr>
      <w:rFonts w:ascii="Times New Roman" w:hAnsi="Times New Roman"/>
      <w:sz w:val="44"/>
      <w:szCs w:val="44"/>
    </w:rPr>
  </w:style>
  <w:style w:type="paragraph" w:customStyle="1" w:styleId="31">
    <w:name w:val="NormalForm"/>
    <w:qFormat/>
    <w:uiPriority w:val="0"/>
    <w:pPr>
      <w:spacing w:before="60" w:after="60"/>
    </w:pPr>
    <w:rPr>
      <w:rFonts w:ascii="Times New Roman" w:hAnsi="Times New Roman" w:eastAsia="宋体" w:cs="Times New Roman"/>
      <w:color w:val="000000"/>
      <w:sz w:val="24"/>
      <w:lang w:val="en-US" w:eastAsia="en-US" w:bidi="ar-SA"/>
    </w:rPr>
  </w:style>
  <w:style w:type="paragraph" w:customStyle="1" w:styleId="32">
    <w:name w:val="首段落"/>
    <w:basedOn w:val="1"/>
    <w:qFormat/>
    <w:uiPriority w:val="0"/>
    <w:pPr>
      <w:spacing w:before="120" w:beforeLines="50" w:line="500" w:lineRule="exact"/>
      <w:ind w:firstLine="561"/>
    </w:pPr>
    <w:rPr>
      <w:rFonts w:eastAsia="仿宋_GB2312"/>
      <w:color w:val="000000"/>
      <w:sz w:val="28"/>
    </w:rPr>
  </w:style>
  <w:style w:type="character" w:customStyle="1" w:styleId="33">
    <w:name w:val="font21"/>
    <w:basedOn w:val="17"/>
    <w:qFormat/>
    <w:uiPriority w:val="0"/>
    <w:rPr>
      <w:rFonts w:hint="eastAsia" w:ascii="宋体" w:hAnsi="宋体" w:eastAsia="宋体" w:cs="宋体"/>
      <w:b/>
      <w:bCs/>
      <w:color w:val="000000"/>
      <w:sz w:val="24"/>
      <w:szCs w:val="24"/>
      <w:u w:val="none"/>
    </w:rPr>
  </w:style>
  <w:style w:type="character" w:customStyle="1" w:styleId="34">
    <w:name w:val="font41"/>
    <w:basedOn w:val="17"/>
    <w:qFormat/>
    <w:uiPriority w:val="0"/>
    <w:rPr>
      <w:rFonts w:hint="eastAsia" w:ascii="宋体" w:hAnsi="宋体" w:eastAsia="宋体" w:cs="宋体"/>
      <w:b/>
      <w:bCs/>
      <w:i/>
      <w:iCs/>
      <w:color w:val="000000"/>
      <w:sz w:val="24"/>
      <w:szCs w:val="24"/>
      <w:u w:val="none"/>
    </w:rPr>
  </w:style>
  <w:style w:type="character" w:customStyle="1" w:styleId="35">
    <w:name w:val="font51"/>
    <w:basedOn w:val="17"/>
    <w:qFormat/>
    <w:uiPriority w:val="0"/>
    <w:rPr>
      <w:rFonts w:hint="eastAsia" w:ascii="宋体" w:hAnsi="宋体" w:eastAsia="宋体" w:cs="宋体"/>
      <w:color w:val="FF0000"/>
      <w:sz w:val="24"/>
      <w:szCs w:val="24"/>
      <w:u w:val="none"/>
    </w:rPr>
  </w:style>
  <w:style w:type="character" w:customStyle="1" w:styleId="36">
    <w:name w:val="标题 2 字符"/>
    <w:basedOn w:val="17"/>
    <w:link w:val="4"/>
    <w:qFormat/>
    <w:uiPriority w:val="9"/>
    <w:rPr>
      <w:rFonts w:asciiTheme="majorHAnsi" w:hAnsiTheme="majorHAnsi" w:eastAsiaTheme="majorEastAsia" w:cstheme="majorBidi"/>
      <w:b/>
      <w:bCs/>
      <w:kern w:val="2"/>
      <w:sz w:val="32"/>
      <w:szCs w:val="32"/>
    </w:rPr>
  </w:style>
  <w:style w:type="character" w:customStyle="1" w:styleId="37">
    <w:name w:val="标题 3 字符"/>
    <w:basedOn w:val="17"/>
    <w:link w:val="5"/>
    <w:qFormat/>
    <w:uiPriority w:val="9"/>
    <w:rPr>
      <w:rFonts w:ascii="宋体" w:hAnsi="宋体"/>
      <w:b/>
      <w:bCs/>
      <w:kern w:val="2"/>
      <w:sz w:val="32"/>
      <w:szCs w:val="32"/>
    </w:rPr>
  </w:style>
  <w:style w:type="character" w:customStyle="1" w:styleId="38">
    <w:name w:val="标题 4 字符"/>
    <w:basedOn w:val="17"/>
    <w:link w:val="6"/>
    <w:semiHidden/>
    <w:qFormat/>
    <w:uiPriority w:val="9"/>
    <w:rPr>
      <w:rFonts w:eastAsiaTheme="minorEastAsia"/>
      <w:b/>
      <w:bCs/>
      <w:color w:val="000000"/>
      <w:sz w:val="28"/>
      <w:szCs w:val="28"/>
    </w:rPr>
  </w:style>
  <w:style w:type="character" w:customStyle="1" w:styleId="39">
    <w:name w:val="标题 5 字符"/>
    <w:basedOn w:val="17"/>
    <w:link w:val="7"/>
    <w:semiHidden/>
    <w:qFormat/>
    <w:uiPriority w:val="9"/>
    <w:rPr>
      <w:rFonts w:eastAsiaTheme="minorEastAsia"/>
      <w:b/>
      <w:bCs/>
      <w:color w:val="000000"/>
      <w:sz w:val="24"/>
      <w:szCs w:val="24"/>
    </w:rPr>
  </w:style>
  <w:style w:type="character" w:customStyle="1" w:styleId="40">
    <w:name w:val="标题 6 字符"/>
    <w:basedOn w:val="17"/>
    <w:link w:val="8"/>
    <w:semiHidden/>
    <w:qFormat/>
    <w:uiPriority w:val="9"/>
    <w:rPr>
      <w:rFonts w:eastAsiaTheme="minorEastAsia"/>
      <w:b/>
      <w:bCs/>
      <w:color w:val="000000"/>
    </w:rPr>
  </w:style>
  <w:style w:type="character" w:styleId="41">
    <w:name w:val="Placeholder Text"/>
    <w:basedOn w:val="17"/>
    <w:unhideWhenUsed/>
    <w:qFormat/>
    <w:uiPriority w:val="99"/>
    <w:rPr>
      <w:color w:val="666666"/>
    </w:rPr>
  </w:style>
  <w:style w:type="character" w:customStyle="1" w:styleId="42">
    <w:name w:val="标题 字符"/>
    <w:basedOn w:val="17"/>
    <w:link w:val="14"/>
    <w:qFormat/>
    <w:uiPriority w:val="10"/>
    <w:rPr>
      <w:rFonts w:eastAsiaTheme="minorEastAsia"/>
      <w:sz w:val="56"/>
      <w:szCs w:val="56"/>
    </w:rPr>
  </w:style>
  <w:style w:type="paragraph" w:customStyle="1" w:styleId="43">
    <w:name w:val="要点1"/>
    <w:qFormat/>
    <w:uiPriority w:val="0"/>
    <w:rPr>
      <w:rFonts w:ascii="Times New Roman" w:hAnsi="Times New Roman" w:cs="Times New Roman" w:eastAsiaTheme="minorEastAsia"/>
      <w:b/>
      <w:bCs/>
      <w:sz w:val="24"/>
      <w:szCs w:val="24"/>
      <w:lang w:val="en-US" w:eastAsia="zh-CN" w:bidi="ar-SA"/>
    </w:rPr>
  </w:style>
  <w:style w:type="paragraph" w:styleId="44">
    <w:name w:val="List Paragraph"/>
    <w:qFormat/>
    <w:uiPriority w:val="0"/>
    <w:rPr>
      <w:rFonts w:ascii="Times New Roman" w:hAnsi="Times New Roman" w:cs="Times New Roman" w:eastAsiaTheme="minorEastAsia"/>
      <w:sz w:val="24"/>
      <w:szCs w:val="24"/>
      <w:lang w:val="en-US" w:eastAsia="zh-CN" w:bidi="ar-SA"/>
    </w:rPr>
  </w:style>
  <w:style w:type="character" w:customStyle="1" w:styleId="45">
    <w:name w:val="脚注文本 字符"/>
    <w:basedOn w:val="17"/>
    <w:link w:val="12"/>
    <w:semiHidden/>
    <w:qFormat/>
    <w:uiPriority w:val="99"/>
    <w:rPr>
      <w:rFonts w:eastAsiaTheme="minorEastAsia"/>
    </w:rPr>
  </w:style>
  <w:style w:type="character" w:customStyle="1" w:styleId="46">
    <w:name w:val="标题 1 字符"/>
    <w:basedOn w:val="17"/>
    <w:link w:val="2"/>
    <w:qFormat/>
    <w:uiPriority w:val="9"/>
    <w:rPr>
      <w:rFonts w:ascii="Arial" w:hAnsi="Arial"/>
      <w:b/>
      <w:kern w:val="1"/>
      <w:sz w:val="24"/>
      <w:lang w:eastAsia="hi-IN" w:bidi="hi-I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5915</Words>
  <Characters>6129</Characters>
  <Lines>168</Lines>
  <Paragraphs>47</Paragraphs>
  <TotalTime>2</TotalTime>
  <ScaleCrop>false</ScaleCrop>
  <LinksUpToDate>false</LinksUpToDate>
  <CharactersWithSpaces>6141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2026-08-31T01:01:00Z</dcterms:created>
  <dc:creator>xiaofei li</dc:creator>
  <cp:lastModifiedBy>zhang</cp:lastModifiedBy>
  <dcterms:modified xsi:type="dcterms:W3CDTF">2026-09-15T07:31:08Z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1E13D7C72473459A82B1088EDA5A0BFF_13</vt:lpwstr>
  </property>
  <property fmtid="{D5CDD505-2E9C-101B-9397-08002B2CF9AE}" pid="4" name="KSOTemplateDocerSaveRecord">
    <vt:lpwstr>eyJoZGlkIjoiNTE3YjQ4OGI0NzMxNjRmNDQ5MGJjOGQ4Yjg4ZmI3MzMiLCJ1c2VySWQiOiIyMzE5MDIyNjMifQ==</vt:lpwstr>
  </property>
</Properties>
</file>