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CD0E6">
      <w:pPr>
        <w:jc w:val="center"/>
        <w:rPr>
          <w:b/>
          <w:sz w:val="30"/>
          <w:szCs w:val="30"/>
        </w:rPr>
      </w:pPr>
      <w:r>
        <w:rPr>
          <w:rFonts w:hint="eastAsia"/>
          <w:b/>
          <w:sz w:val="30"/>
          <w:szCs w:val="30"/>
        </w:rPr>
        <w:t>提案专利分析及建议</w:t>
      </w:r>
    </w:p>
    <w:tbl>
      <w:tblPr>
        <w:tblStyle w:val="8"/>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454"/>
        <w:gridCol w:w="2693"/>
        <w:gridCol w:w="3328"/>
      </w:tblGrid>
      <w:tr w14:paraId="4CAD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B40E300">
            <w:pPr>
              <w:rPr>
                <w:b/>
                <w:sz w:val="28"/>
                <w:szCs w:val="28"/>
              </w:rPr>
            </w:pPr>
            <w:r>
              <w:rPr>
                <w:rFonts w:hint="eastAsia"/>
                <w:b/>
                <w:sz w:val="28"/>
                <w:szCs w:val="28"/>
              </w:rPr>
              <w:t>交底书名称</w:t>
            </w:r>
          </w:p>
        </w:tc>
        <w:tc>
          <w:tcPr>
            <w:tcW w:w="6475" w:type="dxa"/>
            <w:gridSpan w:val="3"/>
          </w:tcPr>
          <w:p w14:paraId="6296050F">
            <w:pPr>
              <w:spacing w:line="480" w:lineRule="auto"/>
              <w:jc w:val="center"/>
              <w:rPr>
                <w:rFonts w:ascii="宋体" w:hAnsi="宋体"/>
                <w:b/>
                <w:bCs/>
                <w:sz w:val="24"/>
              </w:rPr>
            </w:pPr>
            <w:r>
              <w:rPr>
                <w:rFonts w:hint="eastAsia" w:ascii="宋体" w:hAnsi="宋体"/>
                <w:b/>
                <w:bCs/>
                <w:sz w:val="22"/>
                <w:szCs w:val="22"/>
                <w:lang w:val="en-US" w:eastAsia="zh-CN"/>
              </w:rPr>
              <w:t>一</w:t>
            </w:r>
            <w:r>
              <w:rPr>
                <w:rFonts w:hint="eastAsia" w:ascii="宋体" w:hAnsi="宋体"/>
                <w:b/>
                <w:bCs/>
                <w:sz w:val="22"/>
                <w:szCs w:val="22"/>
              </w:rPr>
              <w:t>种</w:t>
            </w:r>
            <w:r>
              <w:rPr>
                <w:rFonts w:ascii="Times New Roman" w:hAnsi="Times New Roman" w:eastAsia="宋体"/>
                <w:b/>
                <w:sz w:val="22"/>
                <w:szCs w:val="22"/>
              </w:rPr>
              <w:t>基于自适应特征融合的锂离子电池剩余使用寿命预测方法</w:t>
            </w:r>
          </w:p>
        </w:tc>
      </w:tr>
      <w:tr w14:paraId="080C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41F4153A">
            <w:pPr>
              <w:rPr>
                <w:b/>
                <w:sz w:val="28"/>
                <w:szCs w:val="28"/>
              </w:rPr>
            </w:pPr>
            <w:r>
              <w:rPr>
                <w:rFonts w:hint="eastAsia"/>
                <w:b/>
                <w:sz w:val="28"/>
                <w:szCs w:val="28"/>
              </w:rPr>
              <w:t>申请建议类型</w:t>
            </w:r>
          </w:p>
        </w:tc>
        <w:tc>
          <w:tcPr>
            <w:tcW w:w="6475" w:type="dxa"/>
            <w:gridSpan w:val="3"/>
          </w:tcPr>
          <w:p w14:paraId="2C384189">
            <w:pPr>
              <w:spacing w:line="480" w:lineRule="auto"/>
              <w:jc w:val="center"/>
              <w:rPr>
                <w:rFonts w:ascii="宋体" w:hAnsi="宋体"/>
                <w:b/>
                <w:bCs/>
                <w:sz w:val="24"/>
              </w:rPr>
            </w:pPr>
            <w:r>
              <w:rPr>
                <w:rFonts w:ascii="仿宋_GB2312" w:eastAsia="仿宋_GB2312" w:cs="Arial"/>
                <w:sz w:val="28"/>
                <w:szCs w:val="28"/>
              </w:rPr>
              <w:fldChar w:fldCharType="begin">
                <w:ffData>
                  <w:enabled/>
                  <w:calcOnExit w:val="0"/>
                  <w:checkBox>
                    <w:sizeAuto/>
                    <w:default w:val="1"/>
                    <w:checked/>
                  </w:checkBox>
                </w:ffData>
              </w:fldChar>
            </w:r>
            <w:r>
              <w:rPr>
                <w:rFonts w:ascii="仿宋_GB2312" w:eastAsia="仿宋_GB2312" w:cs="Arial"/>
                <w:sz w:val="28"/>
                <w:szCs w:val="28"/>
              </w:rPr>
              <w:instrText xml:space="preserve"> </w:instrText>
            </w:r>
            <w:r>
              <w:rPr>
                <w:rFonts w:hint="eastAsia" w:ascii="仿宋_GB2312" w:eastAsia="仿宋_GB2312" w:cs="Arial"/>
                <w:sz w:val="28"/>
                <w:szCs w:val="28"/>
              </w:rPr>
              <w:instrText xml:space="preserve">FORMCHECKBOX</w:instrText>
            </w:r>
            <w:r>
              <w:rPr>
                <w:rFonts w:ascii="仿宋_GB2312" w:eastAsia="仿宋_GB2312" w:cs="Arial"/>
                <w:sz w:val="28"/>
                <w:szCs w:val="28"/>
              </w:rPr>
              <w:instrText xml:space="preserve"> </w:instrText>
            </w:r>
            <w:r>
              <w:rPr>
                <w:rFonts w:ascii="仿宋_GB2312" w:eastAsia="仿宋_GB2312" w:cs="Arial"/>
                <w:sz w:val="28"/>
                <w:szCs w:val="28"/>
              </w:rPr>
              <w:fldChar w:fldCharType="separate"/>
            </w:r>
            <w:r>
              <w:rPr>
                <w:rFonts w:ascii="仿宋_GB2312" w:eastAsia="仿宋_GB2312" w:cs="Arial"/>
                <w:sz w:val="28"/>
                <w:szCs w:val="28"/>
              </w:rPr>
              <w:fldChar w:fldCharType="end"/>
            </w:r>
            <w:r>
              <w:rPr>
                <w:rFonts w:hint="eastAsia" w:ascii="仿宋_GB2312" w:eastAsia="仿宋_GB2312" w:cs="Arial"/>
                <w:sz w:val="28"/>
                <w:szCs w:val="28"/>
              </w:rPr>
              <w:t>发明</w:t>
            </w:r>
            <w:r>
              <w:rPr>
                <w:rFonts w:ascii="仿宋_GB2312" w:eastAsia="仿宋_GB2312" w:cs="Arial"/>
                <w:sz w:val="28"/>
                <w:szCs w:val="28"/>
              </w:rPr>
              <w:fldChar w:fldCharType="begin">
                <w:ffData>
                  <w:enabled/>
                  <w:calcOnExit w:val="0"/>
                  <w:checkBox>
                    <w:sizeAuto/>
                    <w:default w:val="0"/>
                    <w:checked w:val="0"/>
                  </w:checkBox>
                </w:ffData>
              </w:fldChar>
            </w:r>
            <w:r>
              <w:rPr>
                <w:rFonts w:ascii="仿宋_GB2312" w:eastAsia="仿宋_GB2312" w:cs="Arial"/>
                <w:sz w:val="28"/>
                <w:szCs w:val="28"/>
              </w:rPr>
              <w:instrText xml:space="preserve"> FORMCHECKBOX </w:instrText>
            </w:r>
            <w:r>
              <w:rPr>
                <w:rFonts w:ascii="仿宋_GB2312" w:eastAsia="仿宋_GB2312" w:cs="Arial"/>
                <w:sz w:val="28"/>
                <w:szCs w:val="28"/>
              </w:rPr>
              <w:fldChar w:fldCharType="separate"/>
            </w:r>
            <w:r>
              <w:rPr>
                <w:rFonts w:ascii="仿宋_GB2312" w:eastAsia="仿宋_GB2312" w:cs="Arial"/>
                <w:sz w:val="28"/>
                <w:szCs w:val="28"/>
              </w:rPr>
              <w:fldChar w:fldCharType="end"/>
            </w:r>
            <w:r>
              <w:rPr>
                <w:rFonts w:hint="eastAsia" w:ascii="仿宋_GB2312" w:eastAsia="仿宋_GB2312" w:cs="Arial"/>
                <w:sz w:val="28"/>
                <w:szCs w:val="28"/>
              </w:rPr>
              <w:t>实用新型</w:t>
            </w:r>
            <w:r>
              <w:rPr>
                <w:rFonts w:ascii="仿宋_GB2312" w:eastAsia="仿宋_GB2312" w:cs="Arial"/>
                <w:sz w:val="28"/>
                <w:szCs w:val="28"/>
              </w:rPr>
              <w:fldChar w:fldCharType="begin">
                <w:ffData>
                  <w:enabled/>
                  <w:calcOnExit w:val="0"/>
                  <w:checkBox>
                    <w:sizeAuto/>
                    <w:default w:val="0"/>
                    <w:checked w:val="0"/>
                  </w:checkBox>
                </w:ffData>
              </w:fldChar>
            </w:r>
            <w:r>
              <w:rPr>
                <w:rFonts w:ascii="仿宋_GB2312" w:eastAsia="仿宋_GB2312" w:cs="Arial"/>
                <w:sz w:val="28"/>
                <w:szCs w:val="28"/>
              </w:rPr>
              <w:instrText xml:space="preserve"> FORMCHECKBOX </w:instrText>
            </w:r>
            <w:r>
              <w:rPr>
                <w:rFonts w:ascii="仿宋_GB2312" w:eastAsia="仿宋_GB2312" w:cs="Arial"/>
                <w:sz w:val="28"/>
                <w:szCs w:val="28"/>
              </w:rPr>
              <w:fldChar w:fldCharType="separate"/>
            </w:r>
            <w:r>
              <w:rPr>
                <w:rFonts w:ascii="仿宋_GB2312" w:eastAsia="仿宋_GB2312" w:cs="Arial"/>
                <w:sz w:val="28"/>
                <w:szCs w:val="28"/>
              </w:rPr>
              <w:fldChar w:fldCharType="end"/>
            </w:r>
            <w:r>
              <w:rPr>
                <w:rFonts w:hint="eastAsia" w:ascii="仿宋_GB2312" w:eastAsia="仿宋_GB2312" w:cs="Arial"/>
                <w:sz w:val="28"/>
                <w:szCs w:val="28"/>
              </w:rPr>
              <w:t>撤案</w:t>
            </w:r>
          </w:p>
        </w:tc>
      </w:tr>
      <w:tr w14:paraId="0FE3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22F0A12">
            <w:pPr>
              <w:rPr>
                <w:rFonts w:hint="eastAsia" w:eastAsia="宋体"/>
                <w:b/>
                <w:sz w:val="28"/>
                <w:szCs w:val="28"/>
                <w:lang w:val="en-US" w:eastAsia="zh-CN"/>
              </w:rPr>
            </w:pPr>
            <w:r>
              <w:rPr>
                <w:rFonts w:hint="eastAsia"/>
                <w:b/>
                <w:sz w:val="28"/>
                <w:szCs w:val="28"/>
              </w:rPr>
              <w:t>分析人员：</w:t>
            </w:r>
            <w:r>
              <w:rPr>
                <w:rFonts w:hint="eastAsia"/>
                <w:b/>
                <w:sz w:val="28"/>
                <w:szCs w:val="28"/>
                <w:lang w:val="en-US" w:eastAsia="zh-CN"/>
              </w:rPr>
              <w:t>张怡凡</w:t>
            </w:r>
          </w:p>
        </w:tc>
        <w:tc>
          <w:tcPr>
            <w:tcW w:w="2693" w:type="dxa"/>
          </w:tcPr>
          <w:p w14:paraId="438D0C85">
            <w:pPr>
              <w:spacing w:line="480" w:lineRule="auto"/>
              <w:jc w:val="center"/>
              <w:rPr>
                <w:rFonts w:hint="default" w:ascii="宋体" w:hAnsi="宋体" w:eastAsia="宋体"/>
                <w:bCs/>
                <w:sz w:val="24"/>
                <w:lang w:val="en-US" w:eastAsia="zh-CN"/>
              </w:rPr>
            </w:pPr>
            <w:r>
              <w:rPr>
                <w:rFonts w:hint="eastAsia"/>
                <w:b/>
                <w:sz w:val="28"/>
                <w:szCs w:val="28"/>
              </w:rPr>
              <w:t>日期：</w:t>
            </w:r>
            <w:r>
              <w:rPr>
                <w:rFonts w:hint="eastAsia"/>
                <w:bCs/>
                <w:sz w:val="28"/>
                <w:szCs w:val="28"/>
              </w:rPr>
              <w:t>2</w:t>
            </w:r>
            <w:r>
              <w:rPr>
                <w:bCs/>
                <w:sz w:val="28"/>
                <w:szCs w:val="28"/>
              </w:rPr>
              <w:t>02</w:t>
            </w:r>
            <w:r>
              <w:rPr>
                <w:rFonts w:hint="eastAsia"/>
                <w:bCs/>
                <w:sz w:val="28"/>
                <w:szCs w:val="28"/>
                <w:lang w:val="en-US" w:eastAsia="zh-CN"/>
              </w:rPr>
              <w:t>6</w:t>
            </w:r>
            <w:r>
              <w:rPr>
                <w:bCs/>
                <w:sz w:val="28"/>
                <w:szCs w:val="28"/>
              </w:rPr>
              <w:t>-</w:t>
            </w:r>
            <w:r>
              <w:rPr>
                <w:rFonts w:hint="eastAsia"/>
                <w:bCs/>
                <w:sz w:val="28"/>
                <w:szCs w:val="28"/>
                <w:lang w:val="en-US" w:eastAsia="zh-CN"/>
              </w:rPr>
              <w:t>09-15</w:t>
            </w:r>
          </w:p>
        </w:tc>
        <w:tc>
          <w:tcPr>
            <w:tcW w:w="3328" w:type="dxa"/>
          </w:tcPr>
          <w:p w14:paraId="19528C7D">
            <w:pPr>
              <w:spacing w:line="480" w:lineRule="auto"/>
              <w:jc w:val="center"/>
              <w:rPr>
                <w:rFonts w:hint="default" w:eastAsia="宋体"/>
                <w:b/>
                <w:sz w:val="28"/>
                <w:szCs w:val="28"/>
                <w:lang w:val="en-US" w:eastAsia="zh-CN"/>
              </w:rPr>
            </w:pPr>
            <w:r>
              <w:rPr>
                <w:rFonts w:hint="eastAsia"/>
                <w:b/>
                <w:sz w:val="28"/>
                <w:szCs w:val="28"/>
              </w:rPr>
              <w:t>联系方式：</w:t>
            </w:r>
            <w:r>
              <w:rPr>
                <w:rFonts w:hint="eastAsia"/>
                <w:b/>
                <w:sz w:val="28"/>
                <w:szCs w:val="28"/>
                <w:lang w:val="en-US" w:eastAsia="zh-CN"/>
              </w:rPr>
              <w:t>17349236784</w:t>
            </w:r>
          </w:p>
        </w:tc>
      </w:tr>
      <w:tr w14:paraId="4BAF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8" w:type="dxa"/>
            <w:gridSpan w:val="4"/>
          </w:tcPr>
          <w:p w14:paraId="0EC18581">
            <w:pPr>
              <w:rPr>
                <w:b/>
                <w:sz w:val="28"/>
                <w:szCs w:val="28"/>
              </w:rPr>
            </w:pPr>
            <w:r>
              <w:rPr>
                <w:rFonts w:hint="eastAsia"/>
                <w:b/>
                <w:sz w:val="28"/>
                <w:szCs w:val="28"/>
              </w:rPr>
              <w:t>一、对比分析</w:t>
            </w:r>
          </w:p>
        </w:tc>
      </w:tr>
      <w:tr w14:paraId="7816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68" w:type="dxa"/>
            <w:gridSpan w:val="4"/>
          </w:tcPr>
          <w:p w14:paraId="51969862">
            <w:pPr>
              <w:ind w:firstLine="482" w:firstLineChars="200"/>
              <w:jc w:val="left"/>
              <w:rPr>
                <w:rFonts w:hint="eastAsia"/>
                <w:b/>
                <w:bCs/>
                <w:sz w:val="24"/>
                <w:u w:val="single"/>
              </w:rPr>
            </w:pPr>
            <w:r>
              <w:rPr>
                <w:rFonts w:hint="eastAsia"/>
                <w:b/>
                <w:bCs/>
                <w:sz w:val="24"/>
              </w:rPr>
              <w:t>本申</w:t>
            </w:r>
            <w:r>
              <w:rPr>
                <w:rFonts w:hint="eastAsia"/>
                <w:b/>
                <w:bCs/>
                <w:sz w:val="24"/>
                <w:u w:val="none"/>
              </w:rPr>
              <w:t>请</w:t>
            </w:r>
            <w:r>
              <w:rPr>
                <w:b/>
                <w:bCs/>
                <w:sz w:val="24"/>
                <w:u w:val="none"/>
              </w:rPr>
              <w:t>的</w:t>
            </w:r>
            <w:r>
              <w:rPr>
                <w:rFonts w:hint="eastAsia"/>
                <w:b/>
                <w:bCs/>
                <w:sz w:val="24"/>
                <w:u w:val="none"/>
              </w:rPr>
              <w:t>主要发明点：</w:t>
            </w:r>
          </w:p>
          <w:p w14:paraId="1A3F612C">
            <w:pPr>
              <w:ind w:firstLine="480" w:firstLineChars="200"/>
              <w:jc w:val="left"/>
              <w:rPr>
                <w:rFonts w:hint="eastAsia"/>
                <w:sz w:val="24"/>
                <w:u w:val="single"/>
              </w:rPr>
            </w:pPr>
            <w:r>
              <w:rPr>
                <w:rFonts w:ascii="Times New Roman" w:hAnsi="Times New Roman" w:eastAsia="宋体"/>
                <w:b w:val="0"/>
                <w:sz w:val="24"/>
                <w:u w:val="single"/>
              </w:rPr>
              <w:t>本申请的主要发明点在于：针对锂离子电池早期循环中的局部退化征兆、整体演变趋势及变量关联难以充分结合的问题，在共享潜在变量序列上分别构建局部循环片段支路和完整循环轨迹支路，先对同一变量的局部片段进行自适应聚合，再与该变量的完整轨迹特征对应融合，随后建立变量之间的关联，并通过变量级自适应聚合得到剩余使用寿命预测结果。其重点在于两支路的变量对应关系，以及片段级聚合、对应融合、变量关系编码和变量级聚合之间的承接。</w:t>
            </w:r>
          </w:p>
          <w:p w14:paraId="1A3F612C">
            <w:pPr>
              <w:ind w:firstLine="480" w:firstLineChars="200"/>
              <w:jc w:val="left"/>
              <w:rPr>
                <w:rFonts w:hint="eastAsia"/>
                <w:sz w:val="24"/>
                <w:u w:val="single"/>
              </w:rPr>
            </w:pPr>
          </w:p>
          <w:p w14:paraId="24D00675">
            <w:pPr>
              <w:ind w:firstLine="482" w:firstLineChars="200"/>
              <w:jc w:val="left"/>
              <w:rPr>
                <w:rFonts w:hint="eastAsia"/>
                <w:sz w:val="24"/>
                <w:u w:val="single"/>
                <w:lang w:val="en-US" w:eastAsia="zh-CN"/>
              </w:rPr>
            </w:pPr>
            <w:r>
              <w:rPr>
                <w:rFonts w:hint="eastAsia"/>
                <w:b/>
                <w:bCs/>
                <w:sz w:val="24"/>
                <w:u w:val="single"/>
                <w:lang w:val="en-US" w:eastAsia="zh-CN"/>
              </w:rPr>
              <w:t>发明点1：以极耳切割状态作为激光聚焦调节的反馈依据</w:t>
            </w:r>
          </w:p>
          <w:p w14:paraId="1A3F612C">
            <w:pPr>
              <w:ind w:firstLine="480" w:firstLineChars="200"/>
              <w:jc w:val="left"/>
              <w:rPr>
                <w:rFonts w:hint="eastAsia" w:ascii="宋体" w:hAnsi="宋体" w:eastAsia="宋体" w:cs="宋体"/>
                <w:sz w:val="24"/>
                <w:szCs w:val="24"/>
              </w:rPr>
            </w:pPr>
            <w:r>
              <w:rPr>
                <w:rFonts w:ascii="Times New Roman" w:hAnsi="Times New Roman" w:eastAsia="宋体"/>
                <w:b w:val="0"/>
                <w:sz w:val="24"/>
                <w:u w:val="none"/>
              </w:rPr>
              <w:t>本申请将早期循环特征共享投影并归一化，得到潜在变量序列。针对同一潜在变量，一路沿循环维划分片段、编码并聚合为局部特征，另一路将未经片段切分的完整循环轨迹按时间顺序进行共享线性映射；随后按照相同变量索引拼接并融合两路特征。两路输出均与原潜在变量一一对应，融合后仍保留该变量的独立表征，以供后续变量关系编码使用。</w:t>
            </w:r>
          </w:p>
          <w:p w14:paraId="1A3F612C">
            <w:pPr>
              <w:ind w:firstLine="480" w:firstLineChars="200"/>
              <w:jc w:val="left"/>
              <w:rPr>
                <w:rFonts w:hint="eastAsia" w:ascii="宋体" w:hAnsi="宋体" w:eastAsia="宋体" w:cs="宋体"/>
                <w:sz w:val="24"/>
                <w:szCs w:val="24"/>
                <w:lang w:eastAsia="zh-CN"/>
              </w:rPr>
            </w:pPr>
            <w:r>
              <w:rPr>
                <w:rFonts w:ascii="Times New Roman" w:hAnsi="Times New Roman" w:eastAsia="宋体"/>
                <w:b w:val="0"/>
                <w:sz w:val="24"/>
                <w:u w:val="none"/>
              </w:rPr>
              <w:t>对比文件1（PatchFormer，Journal of Power Sources，2025，631，236187，2025年1月17日在线公开）以历史容量序列为基础，通过片内注意力和片间注意力分别提取局部、全局信息，将二者融合后，再利用特征注意力建立特征之间的关系。该文件与本申请均涉及片段处理、局部与全局信息融合以及融合后的特征关系建模，在整体处理思路上较为接近。</w:t>
            </w:r>
            <w:r>
              <w:rPr>
                <w:rFonts w:hint="eastAsia"/>
                <w:b w:val="0"/>
                <w:sz w:val="24"/>
                <w:u w:val="none"/>
                <w:lang w:eastAsia="zh-CN"/>
              </w:rPr>
              <w:t>（</w:t>
            </w:r>
            <w:r>
              <w:rPr>
                <w:rFonts w:ascii="Times New Roman" w:hAnsi="Times New Roman" w:eastAsia="宋体"/>
                <w:b w:val="0"/>
                <w:sz w:val="21"/>
                <w:u w:val="none"/>
              </w:rPr>
              <w:t>文献地址：</w:t>
            </w:r>
            <w:r>
              <w:fldChar w:fldCharType="begin"/>
            </w:r>
            <w:r>
              <w:instrText xml:space="preserve"> HYPERLINK "https://doi.org/10.1016/j.jpowsour.2025.236187" \h </w:instrText>
            </w:r>
            <w:r>
              <w:fldChar w:fldCharType="separate"/>
            </w:r>
            <w:r>
              <w:rPr>
                <w:rFonts w:ascii="Times New Roman" w:eastAsia="宋体"/>
                <w:color w:val="0563C1"/>
                <w:sz w:val="21"/>
                <w:u w:val="single"/>
              </w:rPr>
              <w:t>https://doi.org/10.1016/j.jpowsour.2025.236187</w:t>
            </w:r>
            <w:r>
              <w:rPr>
                <w:rFonts w:ascii="Times New Roman" w:eastAsia="宋体"/>
                <w:color w:val="0563C1"/>
                <w:sz w:val="21"/>
                <w:u w:val="single"/>
              </w:rPr>
              <w:fldChar w:fldCharType="end"/>
            </w:r>
            <w:r>
              <w:rPr>
                <w:rFonts w:hint="eastAsia"/>
                <w:b w:val="0"/>
                <w:sz w:val="24"/>
                <w:u w:val="none"/>
                <w:lang w:eastAsia="zh-CN"/>
              </w:rPr>
              <w:t>）</w:t>
            </w:r>
          </w:p>
          <w:p w14:paraId="1A3F612C">
            <w:pPr>
              <w:ind w:firstLine="480" w:firstLineChars="200"/>
              <w:jc w:val="left"/>
              <w:rPr>
                <w:rFonts w:ascii="Times New Roman" w:hAnsi="Times New Roman" w:eastAsia="宋体"/>
                <w:b w:val="0"/>
                <w:sz w:val="21"/>
                <w:u w:val="none"/>
              </w:rPr>
            </w:pPr>
            <w:r>
              <w:rPr>
                <w:rFonts w:ascii="Times New Roman" w:hAnsi="Times New Roman" w:eastAsia="宋体"/>
                <w:b w:val="0"/>
                <w:sz w:val="24"/>
                <w:u w:val="none"/>
              </w:rPr>
              <w:t>具体对应内容：（1）第3.1节把循环容量序列线性嵌入为潜在特征序列，对应本申请S2“逐循环映射至潜在特征空间”的基本处理；但其以循环级容量为输入，本申请将每循环的容量—电压曲线等整理为F维特征后再投影，不能认定输入构造相同。（2）第3.2节划分时间片段，并采用片内、片间注意力，分别对应本申请提取局部变化和较长范围依赖的目的；其注意力结构及分支输入不同于本申请S4、S5。（3）第3.2.3节融合两类输出，第3.3节再建立特征间关系，对应本申请S6“先融合、后特征关系建模”的顺序。故该顺序本身已有公开，而本申请逐变量的完整轨迹映射、融合前片段汇总及融合后变量汇总仍需单独比较。</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但是，对比文件1的全局信息通过片段之间的处理获得，局部信息通过片段内部的处理获得；本申请则在同一潜在变量内，将片段编码结果先聚合为一个局部表征，并另行对该变量的完整历史轨迹进行线性映射，再将二者按变量索引对应融合。二者在全局信息的形成方式、局部信息的聚合位置以及融合对象上均存在差别。因此，不能将“融合后建立特征关系”单独认定为本申请的区别，而应突出上述逐变量生成和对应融合的具体过程。</w:t>
            </w:r>
          </w:p>
          <w:p w14:paraId="1A3F612C">
            <w:pPr>
              <w:ind w:firstLine="480" w:firstLineChars="200"/>
              <w:jc w:val="left"/>
              <w:rPr>
                <w:rFonts w:hint="eastAsia" w:ascii="Times New Roman" w:hAnsi="Times New Roman" w:eastAsia="宋体"/>
                <w:b w:val="0"/>
                <w:sz w:val="24"/>
                <w:u w:val="none"/>
                <w:lang w:eastAsia="zh-CN"/>
              </w:rPr>
            </w:pPr>
            <w:r>
              <w:rPr>
                <w:rFonts w:ascii="Times New Roman" w:hAnsi="Times New Roman" w:eastAsia="宋体"/>
                <w:b w:val="0"/>
                <w:sz w:val="24"/>
                <w:u w:val="none"/>
              </w:rPr>
              <w:t>对比文件2（GLF-Former，Batteries，2026，12（9），329，2026年8月28日在线公开）从嵌入后的容量序列构建全局、局部双支路：全局支路利用平均、最大描述信息生成时间维权重，局部支路进行片段内注意力处理；将两路结果在时间及特征维对齐后进行通道拼接和重标定，再送入沿时间维处理的Transformer。其已公开双支路互补提取与对齐融合，不能仅因本申请采用双支路就认定具有创造性。</w:t>
            </w:r>
            <w:r>
              <w:rPr>
                <w:rFonts w:hint="eastAsia"/>
                <w:b w:val="0"/>
                <w:sz w:val="24"/>
                <w:u w:val="none"/>
                <w:lang w:eastAsia="zh-CN"/>
              </w:rPr>
              <w:t>（</w:t>
            </w:r>
            <w:r>
              <w:rPr>
                <w:rFonts w:ascii="Times New Roman" w:hAnsi="Times New Roman" w:eastAsia="宋体"/>
                <w:b w:val="0"/>
                <w:sz w:val="21"/>
                <w:u w:val="none"/>
              </w:rPr>
              <w:t>文献地址：</w:t>
            </w:r>
            <w:r>
              <w:fldChar w:fldCharType="begin"/>
            </w:r>
            <w:r>
              <w:instrText xml:space="preserve"> HYPERLINK "https://www.mdpi.com/2313-0105/12/9/329" \h </w:instrText>
            </w:r>
            <w:r>
              <w:fldChar w:fldCharType="separate"/>
            </w:r>
            <w:r>
              <w:rPr>
                <w:rFonts w:ascii="Times New Roman" w:eastAsia="宋体"/>
                <w:color w:val="0563C1"/>
                <w:sz w:val="21"/>
                <w:u w:val="single"/>
              </w:rPr>
              <w:t>https://www.mdpi.com/2313-0105/12/9/329</w:t>
            </w:r>
            <w:r>
              <w:rPr>
                <w:rFonts w:ascii="Times New Roman" w:eastAsia="宋体"/>
                <w:color w:val="0563C1"/>
                <w:sz w:val="21"/>
                <w:u w:val="single"/>
              </w:rPr>
              <w:fldChar w:fldCharType="end"/>
            </w:r>
            <w:r>
              <w:rPr>
                <w:rFonts w:hint="eastAsia"/>
                <w:b w:val="0"/>
                <w:sz w:val="24"/>
                <w:u w:val="none"/>
                <w:lang w:eastAsia="zh-CN"/>
              </w:rPr>
              <w:t>）</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具体对应内容：（1）第3.1节将输入线性嵌入，并将同一嵌入结果用于全局、局部处理，对应本申请S2以及S4、S5共用前级表示的思路；该文实验采用每循环放电容量标量，不等于本申请S1的统一电压位置曲线与参考循环差分。（2）第3.2节在同一框架内保留整段信息并提取局部变化，对应本申请两支路互补的设计目的。（3）ACF将两路结果对齐、拼接，并根据池化描述和卷积生成权重进行重标定，对应本申请“对齐后融合并按内容调整信息贡献”的上位思想；但其按时间及特征维对齐并保留时间序列，本申请先得到每变量一个局部向量和一个整段向量，再对应融合。（4）其融合后沿时间维编码并逐步预测容量，通过阈值确定RUL；本申请沿变量维编码并直接回归RUL。</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但是，对比文件2在融合时仍保留时间位置，融合后继续建立时间位置之间的关系。本申请则在融合前，分别将同一潜在变量的多个片段和完整轨迹转换为变量级表征，融合后进入变量维关系编码。其区别体现为：先在变量内部归纳局部和整段信息，再在变量之间建立关联。该结构有利于将局部退化征兆与整段演变信息对应结合，但是否产生超出常规双支路融合的效果，仍需结合对比或消融实验判断。</w:t>
            </w:r>
          </w:p>
          <w:p w14:paraId="1A3F612C">
            <w:pPr>
              <w:ind w:firstLine="480" w:firstLineChars="200"/>
              <w:jc w:val="left"/>
              <w:rPr>
                <w:rFonts w:hint="eastAsia" w:ascii="Times New Roman" w:hAnsi="Times New Roman" w:eastAsia="宋体"/>
                <w:b w:val="0"/>
                <w:sz w:val="24"/>
                <w:u w:val="none"/>
              </w:rPr>
            </w:pPr>
            <w:r>
              <w:rPr>
                <w:rFonts w:ascii="Times New Roman" w:hAnsi="Times New Roman" w:eastAsia="宋体"/>
                <w:b w:val="0"/>
                <w:sz w:val="24"/>
                <w:u w:val="none"/>
              </w:rPr>
              <w:t>因此，上述文件未见本申请该项具体处理组合，能够作为完整方案的区别依据；但局部与全局信息互补已存在明确启示，创造性论述应落实到同一潜在变量的对应关系及融合前后的数据承接，避免停留在“双支路融合提高精度”的一般表述。</w:t>
            </w:r>
          </w:p>
          <w:p w14:paraId="1A3F612C">
            <w:pPr>
              <w:ind w:firstLine="480" w:firstLineChars="200"/>
              <w:jc w:val="left"/>
              <w:rPr>
                <w:rFonts w:hint="eastAsia" w:ascii="宋体" w:hAnsi="宋体" w:eastAsia="宋体" w:cs="宋体"/>
                <w:sz w:val="24"/>
                <w:szCs w:val="24"/>
              </w:rPr>
            </w:pPr>
          </w:p>
          <w:p w14:paraId="1A3F612C">
            <w:pPr>
              <w:ind w:firstLine="482" w:firstLineChars="200"/>
              <w:jc w:val="left"/>
              <w:rPr>
                <w:rFonts w:ascii="Times New Roman" w:hAnsi="Times New Roman" w:eastAsia="宋体"/>
                <w:b/>
                <w:sz w:val="24"/>
                <w:u w:val="single"/>
              </w:rPr>
            </w:pPr>
            <w:r>
              <w:rPr>
                <w:rFonts w:ascii="Times New Roman" w:hAnsi="Times New Roman" w:eastAsia="宋体"/>
                <w:b/>
                <w:sz w:val="24"/>
                <w:u w:val="single"/>
              </w:rPr>
              <w:t>发明点2：在同一潜在变量内进行片段级自适应聚合</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本申请对每个潜在变量的循环片段进行Transformer编码，再根据各片段编码结果计算评分。对于同一样本、同一潜在变量，在其全部片段之间进行Softmax归一化，并按所得权重加权求和，形成一个局部特征。该局部特征随后与同一变量的完整轨迹特征对应融合。因此，片段权重反映的是该变量不同循环片段对当前局部表征的贡献。</w:t>
            </w:r>
          </w:p>
          <w:p w14:paraId="1A3F612C">
            <w:pPr>
              <w:ind w:firstLine="480" w:firstLineChars="200"/>
              <w:jc w:val="left"/>
              <w:rPr>
                <w:rFonts w:hint="eastAsia"/>
                <w:b w:val="0"/>
                <w:sz w:val="24"/>
                <w:u w:val="none"/>
                <w:lang w:eastAsia="zh-CN"/>
              </w:rPr>
            </w:pPr>
            <w:r>
              <w:rPr>
                <w:rFonts w:ascii="Times New Roman" w:hAnsi="Times New Roman" w:eastAsia="宋体"/>
                <w:b w:val="0"/>
                <w:sz w:val="24"/>
                <w:u w:val="none"/>
              </w:rPr>
              <w:t>对比文件3（PatchTST，arXiv:2211.14730，首版于2022年11月27日公开）公开了逐通道独立的时间序列片段处理，通过片段嵌入、位置编码及共享Transformer参数提取特征，再将编码结果展平并通过线性预测头输出。其与本申请在逐变量片段化和共享编码方面接近，说明片段切分、位置编码及通道独立处理本身已经具有现有技术基础。</w:t>
            </w:r>
            <w:r>
              <w:rPr>
                <w:rFonts w:hint="eastAsia"/>
                <w:b w:val="0"/>
                <w:sz w:val="24"/>
                <w:u w:val="none"/>
                <w:lang w:eastAsia="zh-CN"/>
              </w:rPr>
              <w:t>（</w:t>
            </w:r>
            <w:r>
              <w:rPr>
                <w:rFonts w:ascii="Times New Roman" w:hAnsi="Times New Roman" w:eastAsia="宋体"/>
                <w:b w:val="0"/>
                <w:sz w:val="21"/>
                <w:u w:val="none"/>
              </w:rPr>
              <w:t>文献地址：</w:t>
            </w:r>
            <w:r>
              <w:fldChar w:fldCharType="begin"/>
            </w:r>
            <w:r>
              <w:instrText xml:space="preserve"> HYPERLINK "https://arxiv.org/html/2211.14730v2" \h </w:instrText>
            </w:r>
            <w:r>
              <w:fldChar w:fldCharType="separate"/>
            </w:r>
            <w:r>
              <w:rPr>
                <w:rFonts w:ascii="Times New Roman" w:eastAsia="宋体"/>
                <w:color w:val="0563C1"/>
                <w:sz w:val="21"/>
                <w:u w:val="single"/>
              </w:rPr>
              <w:t>https://arxiv.org/html/2211.14730v2</w:t>
            </w:r>
            <w:r>
              <w:rPr>
                <w:rFonts w:ascii="Times New Roman" w:eastAsia="宋体"/>
                <w:color w:val="0563C1"/>
                <w:sz w:val="21"/>
                <w:u w:val="single"/>
              </w:rPr>
              <w:fldChar w:fldCharType="end"/>
            </w:r>
            <w:r>
              <w:rPr>
                <w:rFonts w:hint="eastAsia"/>
                <w:b w:val="0"/>
                <w:sz w:val="24"/>
                <w:u w:val="none"/>
                <w:lang w:eastAsia="zh-CN"/>
              </w:rPr>
              <w:t>）</w:t>
            </w:r>
          </w:p>
          <w:p w14:paraId="1A3F612C">
            <w:pPr>
              <w:ind w:firstLine="480" w:firstLineChars="200"/>
              <w:jc w:val="left"/>
              <w:rPr>
                <w:rFonts w:hint="eastAsia"/>
                <w:b w:val="0"/>
                <w:sz w:val="24"/>
                <w:u w:val="none"/>
                <w:lang w:eastAsia="zh-CN"/>
              </w:rPr>
            </w:pPr>
            <w:r>
              <w:rPr>
                <w:rFonts w:ascii="Times New Roman" w:hAnsi="Times New Roman" w:eastAsia="宋体"/>
                <w:b w:val="0"/>
                <w:sz w:val="24"/>
                <w:u w:val="none"/>
              </w:rPr>
              <w:t>具体对应内容：（1）每条变量序列独立前向计算并共享嵌入与Transformer参数，对应本申请S4中各潜在变量分别编码、共享参数的结构。（2）切片前进行样本序列归一化，对应S3的基本思想；但该文在预测输出中恢复均值和尺度，本申请未记载将潜在变量统计量如此恢复。（3）以片长P、步长S切片，末端复制最后一个值S次，其片段数N=floor((L−P)/S)+2，与本申请式（15）—（17）在L对应H、P对应Lp、S对应s时的固定补齐及片段计数规则一致。（4）共享线性片段嵌入、可学习位置编码和片段间自注意力，对应式（18）、（19）。因此，该文对本申请S3及S4前半部分构成较具体的技术基础，并非仅公开笼统的Transformer使用。</w:t>
            </w:r>
          </w:p>
          <w:p w14:paraId="1A3F612C">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对应边界：PatchTST的通道是输入时间序列变量，本申请则先通过S2生成潜在变量，再进行逐变量处理。其输出采用展平和线性预测，未见本申请式（20）—（22）的片段评分聚合与S5完整轨迹支路的后续配对。因此，上述局部基础步骤已有公开，不代表该文单独公开本申请完整方案。若本申请有效日期早于所核验v2版本，须进一步核对v1是否记载所引用细节。</w:t>
            </w:r>
          </w:p>
          <w:p w14:paraId="1A3F612C">
            <w:pPr>
              <w:ind w:firstLine="480" w:firstLineChars="200"/>
              <w:jc w:val="left"/>
              <w:rPr>
                <w:rFonts w:hint="eastAsia" w:ascii="宋体" w:hAnsi="宋体" w:eastAsia="宋体" w:cs="宋体"/>
                <w:sz w:val="24"/>
                <w:szCs w:val="24"/>
              </w:rPr>
            </w:pPr>
            <w:r>
              <w:rPr>
                <w:rFonts w:ascii="Times New Roman" w:hAnsi="Times New Roman" w:eastAsia="宋体"/>
                <w:b w:val="0"/>
                <w:sz w:val="24"/>
                <w:u w:val="none"/>
              </w:rPr>
              <w:t>但是，对比文件3通过展平保留各片段编码在预测头输入中的位置；本申请则在片段编码之后增加按内容评分、片段间归一化和加权求和，将多个片段转换为一个局部表征，并将其交给完整轨迹支路的对应融合步骤。上述区别不仅在于采用了权重，还在于权重的归一化范围是同一变量的全部片段，以及聚合结果具有明确的后续融合对象。</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对比文件1同样涉及片段注意力及归一化权重，其通过池化描述和通道激励等处理对片段相关特征进行重标定。因此，不能笼统表述为“对比文件1没有自适应片段权重”。但是，该文件的相关加权服务于片内、片间特征提取及后续融合，未见本申请在共享片段编码后，以同一潜在变量的全部片段为聚合范围，得到单一局部表征，再与该变量完整轨迹映射结果对应融合的过程。</w:t>
            </w:r>
          </w:p>
          <w:p w14:paraId="1A3F612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因此，本申请该项区别有利于使较有预测价值的片段贡献更多，并形成与完整轨迹特征相匹配的融合输入。但内容评分和归一化加权已有相近公开，仅将展平替换为加权求和，仍可能被认为属于常规选择。较有价值的论证应结合其在整个方案中的位置，说明片段级聚合如何为同变量融合及后续变量关系建模提供适配的输入；现有实验尚不足以单独验证该作用。</w:t>
            </w:r>
          </w:p>
          <w:p w14:paraId="1A3F612C">
            <w:pPr>
              <w:ind w:firstLine="480" w:firstLineChars="200"/>
              <w:jc w:val="left"/>
              <w:rPr>
                <w:rFonts w:ascii="Times New Roman" w:hAnsi="Times New Roman" w:eastAsia="宋体"/>
                <w:b w:val="0"/>
                <w:sz w:val="24"/>
                <w:u w:val="none"/>
              </w:rPr>
            </w:pPr>
          </w:p>
          <w:p w14:paraId="1A3F612C">
            <w:pPr>
              <w:ind w:firstLine="482" w:firstLineChars="200"/>
              <w:jc w:val="left"/>
              <w:rPr>
                <w:rFonts w:ascii="Times New Roman" w:hAnsi="Times New Roman" w:eastAsia="宋体"/>
                <w:b w:val="0"/>
                <w:sz w:val="24"/>
                <w:u w:val="none"/>
              </w:rPr>
            </w:pPr>
            <w:r>
              <w:rPr>
                <w:rFonts w:ascii="Times New Roman" w:hAnsi="Times New Roman" w:eastAsia="宋体"/>
                <w:b/>
                <w:sz w:val="24"/>
                <w:u w:val="single"/>
              </w:rPr>
              <w:t>发明点3：对应融合后的变量关系编码与变量级自适应聚合</w:t>
            </w:r>
          </w:p>
          <w:p w14:paraId="1A3F612C">
            <w:pPr>
              <w:ind w:firstLine="480" w:firstLineChars="200"/>
              <w:jc w:val="left"/>
              <w:rPr>
                <w:rFonts w:hint="eastAsia" w:ascii="Times New Roman" w:hAnsi="Times New Roman" w:eastAsia="宋体"/>
                <w:b w:val="0"/>
                <w:sz w:val="24"/>
                <w:u w:val="none"/>
              </w:rPr>
            </w:pPr>
            <w:r>
              <w:rPr>
                <w:rFonts w:ascii="Times New Roman" w:hAnsi="Times New Roman" w:eastAsia="宋体"/>
                <w:b w:val="0"/>
                <w:sz w:val="24"/>
                <w:u w:val="none"/>
              </w:rPr>
              <w:t>本申请在双支路对应融合后保留各潜在变量的独立表征，先沿变量维通过Transformer建立跨变量关联，再根据关系编码结果计算各变量评分，并在同一样本的全部潜在变量之间归一化及加权聚合，形成样本级向量，最终回归输出剩余使用寿命。前一级权重处理同一变量内部的片段贡献，后一级权重处理关系编码后的变量贡献，二者作用对象和处理阶段不同。</w:t>
            </w:r>
          </w:p>
          <w:p w14:paraId="66C5E945">
            <w:pPr>
              <w:ind w:firstLine="480" w:firstLineChars="200"/>
              <w:jc w:val="left"/>
              <w:rPr>
                <w:rFonts w:hint="eastAsia" w:ascii="Times New Roman" w:hAnsi="Times New Roman" w:eastAsia="宋体"/>
                <w:b w:val="0"/>
                <w:sz w:val="24"/>
                <w:u w:val="none"/>
                <w:lang w:eastAsia="zh-CN"/>
              </w:rPr>
            </w:pPr>
            <w:r>
              <w:rPr>
                <w:rFonts w:ascii="Times New Roman" w:hAnsi="Times New Roman" w:eastAsia="宋体"/>
                <w:b w:val="0"/>
                <w:sz w:val="24"/>
                <w:u w:val="none"/>
              </w:rPr>
              <w:t>对比文件4（iTransformer，arXiv:2310.06625，首版于2023年10月10日公开）公开了将各变量的完整历史序列嵌入为变量令牌，通过自注意力建立变量之间的关系，再对变量表征进行预测映射的方式。该文件说明，以完整轨迹形成变量表征并沿变量维进行注意力处理，已经属于已公开的技术思路。</w:t>
            </w:r>
            <w:r>
              <w:rPr>
                <w:rFonts w:hint="eastAsia"/>
                <w:b w:val="0"/>
                <w:sz w:val="24"/>
                <w:u w:val="none"/>
                <w:lang w:eastAsia="zh-CN"/>
              </w:rPr>
              <w:t>（</w:t>
            </w:r>
            <w:r>
              <w:rPr>
                <w:rFonts w:ascii="Times New Roman" w:hAnsi="Times New Roman" w:eastAsia="宋体"/>
                <w:b w:val="0"/>
                <w:sz w:val="21"/>
                <w:u w:val="none"/>
              </w:rPr>
              <w:t>文献地址：</w:t>
            </w:r>
            <w:r>
              <w:fldChar w:fldCharType="begin"/>
            </w:r>
            <w:r>
              <w:instrText xml:space="preserve"> HYPERLINK "https://arxiv.org/abs/2310.06625" \h </w:instrText>
            </w:r>
            <w:r>
              <w:fldChar w:fldCharType="separate"/>
            </w:r>
            <w:r>
              <w:rPr>
                <w:rFonts w:ascii="Times New Roman" w:eastAsia="宋体"/>
                <w:color w:val="0563C1"/>
                <w:sz w:val="21"/>
                <w:u w:val="single"/>
              </w:rPr>
              <w:t>https://arxiv.org/abs/2310.06625</w:t>
            </w:r>
            <w:r>
              <w:rPr>
                <w:rFonts w:ascii="Times New Roman" w:eastAsia="宋体"/>
                <w:color w:val="0563C1"/>
                <w:sz w:val="21"/>
                <w:u w:val="single"/>
              </w:rPr>
              <w:fldChar w:fldCharType="end"/>
            </w:r>
            <w:r>
              <w:rPr>
                <w:rFonts w:hint="eastAsia"/>
                <w:b w:val="0"/>
                <w:sz w:val="24"/>
                <w:u w:val="none"/>
                <w:lang w:eastAsia="zh-CN"/>
              </w:rPr>
              <w:t>）</w:t>
            </w:r>
          </w:p>
          <w:p w14:paraId="7BD1FD92">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具体对应内容：（1）第3.1节将同一变量的全部历史值作为整体输入，形成一个变量令牌，对应本申请S5式（23）、（24）“完整轨迹形成变量表征”的基本方式；不能仅凭该对应认定其嵌入实现与本申请共享线性映射完全相同。（2）第3.2节沿变量令牌之间执行自注意力，对应本申请S6式（27）的跨变量关系编码。（3）逐变量表征还经过前馈网络和归一化，说明这些网络组成也已有公开基础。不过，该文围绕输入变量进行多变量未来序列预测，本申请围绕潜在变量，在双支路融合后编码，并经式（28）—（30）汇总为单个样本向量，二者的前置输入和后置输出关系不同。</w:t>
            </w:r>
          </w:p>
          <w:p w14:paraId="2039D137">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对创造性判断的影响：该文可为“完整历史形成变量表征，再建立变量关联”提供技术启示，尤其影响本申请S5与S6单独作为创新点时的力度；但将其引入本申请还需分析双支路如何保留相同变量索引、片段聚合结果如何接入以及后续如何汇总，不能跳过这些具体结构差别。</w:t>
            </w:r>
          </w:p>
          <w:p w14:paraId="6E850B71">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但是，本申请进入变量关系编码的输入，已经经过片段级聚合以及与同一变量完整轨迹特征的对应融合；在关系编码之后，还对潜在变量进行评分和加权汇总，形成用于单一寿命值回归的样本级向量。对比文件4未见上述前置融合及后置变量聚合的完整承接。因此，区别不能仅表述为“建立变量关系”，而应包括关系编码前的输入形成方式和编码后的结果使用方式。</w:t>
            </w:r>
          </w:p>
          <w:p w14:paraId="0B7FB1F0">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对比文件1已在局部、全局信息融合后设置特征维注意力模块，其与本申请“融合后建立变量关系”的顺序也较为接近。但是，该文件经后续处理后采用展平和线性映射进行容量预测；本申请则在关系编码后进行变量级加权聚合，并直接回归剩余使用寿命。由此可见，本申请更具体的差别是：在前述同变量对应融合基础上，对关系编码结果进一步确定变量贡献，而非仅增加一个特征注意力模块。</w:t>
            </w:r>
          </w:p>
          <w:p w14:paraId="528267CC">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对比文件5（CN121212204A，2025年12月26日公开）公开了CNN-Bi-LSTM与Transformer结合的蓄电池寿命预测方案，通过全连接层及Softmax产生归一化权重，以调整不同模型的贡献。其已给出根据输入自适应分配不同来源信息贡献的启示，与本申请均具有数据驱动的加权处理思想。</w:t>
            </w:r>
          </w:p>
          <w:p w14:paraId="1DEDE042">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具体对应内容：（1）权利要求1—3记载多参数数据的异常处理和标准化，对应本申请S1、S3的数据质量处理目的；但箱型图异常检测、分阶段Z-Score与本申请曲线插值、中值异常处理及逐样本潜在变量归一化不是同一具体方法。（2）权利要求1将CNN-Bi-LSTM串行支路与Transformer支路并行，并融合多模型特征，对应本申请并行提取互补信息后融合的上位结构。（3）权利要求7明确由全连接网络生成3维权重并经Softmax归一化，对应本申请“可学习评分—归一化权重—调整贡献”的基本处理思想；但其3个权重反映模型贡献，本申请分别在同变量的片段集合、同样本的潜在变量集合内归一化。（4）其用于电池剩余寿命预测，故不能仅以本申请将自适应融合用于电池寿命任务作为区别。</w:t>
            </w:r>
          </w:p>
          <w:p w14:paraId="7D4B0B0B">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但是，对比文件5的权重作用于不同模型的贡献，本申请的最终权重作用于已经完成同变量双支路融合及跨变量关系编码的潜在变量；本申请两支路之间采用对应拼接和映射融合，不能将其等同于对比文件5的模型权重分配。二者的加权对象、权重产生所依据的中间结果及其在处理流程中的位置均不同，该文件未见本申请前后两级聚合的具体安排。</w:t>
            </w:r>
          </w:p>
          <w:p w14:paraId="3808DD80">
            <w:pPr>
              <w:ind w:firstLine="480" w:firstLineChars="200"/>
              <w:jc w:val="left"/>
              <w:rPr>
                <w:rFonts w:ascii="Times New Roman" w:hAnsi="Times New Roman" w:eastAsia="宋体"/>
                <w:b w:val="0"/>
                <w:sz w:val="24"/>
                <w:u w:val="none"/>
              </w:rPr>
            </w:pPr>
            <w:r>
              <w:rPr>
                <w:rFonts w:ascii="Times New Roman" w:hAnsi="Times New Roman" w:eastAsia="宋体"/>
                <w:b w:val="0"/>
                <w:sz w:val="24"/>
                <w:u w:val="none"/>
              </w:rPr>
              <w:t>因此，本申请通过先聚合变量内部片段信息、再融合局部与整段信息、随后建立变量关联并汇总变量贡献，形成了具有明确承接关系的完整方案。该安排有利于结合局部退化、整体轨迹及变量关联进行寿命预测。不过，现有文件分别提供了特征关系建模和自适应加权的启示，仍需说明为何采用本申请的处理顺序及两级聚合能够取得相应效果，不能仅以各文件均未公开整个方案，直接得出具备创造性的结论。</w:t>
            </w:r>
          </w:p>
          <w:p w14:paraId="6ACFA25F">
            <w:pPr>
              <w:ind w:firstLine="480" w:firstLineChars="200"/>
              <w:jc w:val="left"/>
              <w:rPr>
                <w:rFonts w:hint="eastAsia" w:ascii="宋体" w:hAnsi="宋体" w:eastAsia="宋体" w:cs="宋体"/>
                <w:sz w:val="24"/>
                <w:szCs w:val="24"/>
              </w:rPr>
            </w:pPr>
            <w:r>
              <w:rPr>
                <w:rFonts w:ascii="Times New Roman" w:hAnsi="Times New Roman" w:eastAsia="宋体"/>
                <w:b w:val="0"/>
                <w:sz w:val="24"/>
                <w:u w:val="none"/>
              </w:rPr>
              <w:t>从本申请流程整体看，S2的线性嵌入、S3的序列归一化、S4前半部分的共享片段编码、S5的完整轨迹表征以及S6的融合与变量关联，均分别存在明确或相近的公开基础；不能把这些分散公开自动拼成一份新颖性对比文件，也不能把其尚未完整组合当作创造性已经成立。当前五份文件未完整对应S1的统一电压位置曲线、参考循环差分和鲁棒处理组合，但本报告未据此认定该预处理链本身具有创造性。</w:t>
            </w:r>
          </w:p>
          <w:p w14:paraId="1A2E04B4">
            <w:pPr>
              <w:ind w:firstLine="480" w:firstLineChars="200"/>
              <w:jc w:val="left"/>
              <w:rPr>
                <w:bCs/>
                <w:sz w:val="24"/>
              </w:rPr>
            </w:pPr>
            <w:r>
              <w:rPr>
                <w:rFonts w:ascii="宋体" w:hAnsi="宋体" w:eastAsia="宋体" w:cs="宋体"/>
                <w:sz w:val="24"/>
                <w:szCs w:val="24"/>
              </w:rPr>
              <w:t>综上所述，本次检索尚未发现单篇对比文件公开本申请的完整技术方案，初步认为本申请具有新颖性。但</w:t>
            </w:r>
            <w:bookmarkStart w:id="0" w:name="_GoBack"/>
            <w:bookmarkEnd w:id="0"/>
            <w:r>
              <w:rPr>
                <w:rFonts w:ascii="宋体" w:hAnsi="宋体" w:eastAsia="宋体" w:cs="宋体"/>
                <w:sz w:val="24"/>
                <w:szCs w:val="24"/>
              </w:rPr>
              <w:t>局部与全局特征融合、变量关系编码及自适应加权等手段已有相近公开，本申请现有技术内容对创造性的支撑仍显不足，建议进一步补充具体处理关系及其技术效果依据。</w:t>
            </w:r>
          </w:p>
        </w:tc>
      </w:tr>
      <w:tr w14:paraId="5EE1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568" w:type="dxa"/>
            <w:gridSpan w:val="4"/>
          </w:tcPr>
          <w:p w14:paraId="185FAF49">
            <w:pPr>
              <w:rPr>
                <w:rFonts w:eastAsia="楷体_GB2312"/>
                <w:szCs w:val="21"/>
              </w:rPr>
            </w:pPr>
            <w:r>
              <w:rPr>
                <w:rFonts w:hint="eastAsia"/>
                <w:b/>
                <w:sz w:val="28"/>
                <w:szCs w:val="28"/>
              </w:rPr>
              <w:t>二、申请建议</w:t>
            </w:r>
          </w:p>
        </w:tc>
      </w:tr>
      <w:tr w14:paraId="6A18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568" w:type="dxa"/>
            <w:gridSpan w:val="4"/>
          </w:tcPr>
          <w:p w14:paraId="3159897F">
            <w:pPr>
              <w:ind w:firstLine="482" w:firstLineChars="200"/>
              <w:jc w:val="left"/>
              <w:rPr>
                <w:b/>
                <w:bCs/>
                <w:sz w:val="24"/>
              </w:rPr>
            </w:pPr>
            <w:r>
              <w:rPr>
                <w:rFonts w:hint="eastAsia"/>
                <w:b/>
                <w:bCs/>
                <w:sz w:val="24"/>
                <w:lang w:val="en-US" w:eastAsia="zh-CN"/>
              </w:rPr>
              <w:t>代理人</w:t>
            </w:r>
            <w:r>
              <w:rPr>
                <w:rFonts w:hint="eastAsia"/>
                <w:b/>
                <w:bCs/>
                <w:sz w:val="24"/>
              </w:rPr>
              <w:t>建议补充完善后申请发明专利</w:t>
            </w:r>
            <w:r>
              <w:rPr>
                <w:rFonts w:hint="eastAsia"/>
                <w:sz w:val="24"/>
              </w:rPr>
              <w:t>，</w:t>
            </w:r>
            <w:r>
              <w:rPr>
                <w:rFonts w:hint="eastAsia"/>
                <w:sz w:val="24"/>
                <w:lang w:val="en-US" w:eastAsia="zh-CN"/>
              </w:rPr>
              <w:t>请</w:t>
            </w:r>
            <w:r>
              <w:rPr>
                <w:rFonts w:hint="eastAsia"/>
                <w:sz w:val="24"/>
              </w:rPr>
              <w:t>发明人重点补充同一潜在变量的双支路对应融合、片段级与变量级两级聚合之间的协同机制，并提供相应对比或消融实验。</w:t>
            </w:r>
          </w:p>
        </w:tc>
      </w:tr>
    </w:tbl>
    <w:p w14:paraId="2F7A7180"/>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EEAA1">
    <w:pPr>
      <w:pStyle w:val="4"/>
      <w:jc w:val="center"/>
    </w:pPr>
    <w:r>
      <w:fldChar w:fldCharType="begin"/>
    </w:r>
    <w:r>
      <w:instrText xml:space="preserve"> PAGE   \* MERGEFORMAT </w:instrText>
    </w:r>
    <w:r>
      <w:fldChar w:fldCharType="separate"/>
    </w:r>
    <w:r>
      <w:rPr>
        <w:lang w:val="zh-CN"/>
      </w:rPr>
      <w:t>1</w:t>
    </w:r>
    <w:r>
      <w:fldChar w:fldCharType="end"/>
    </w:r>
  </w:p>
  <w:p w14:paraId="1E0E7C9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16BBE">
    <w:pPr>
      <w:pStyle w:val="5"/>
      <w:wordWrap w:val="0"/>
      <w:jc w:val="right"/>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1NjUxZDUzYTkzZGNkNzI5YzBjOWEwNTJlMDAzM2MifQ=="/>
    <w:docVar w:name="KSO_WPS_MARK_KEY" w:val="f6601c8b-ddcf-4792-be28-f6006fe8f933"/>
  </w:docVars>
  <w:rsids>
    <w:rsidRoot w:val="00F824E8"/>
    <w:rsid w:val="0000433E"/>
    <w:rsid w:val="00006876"/>
    <w:rsid w:val="00007967"/>
    <w:rsid w:val="00026D9E"/>
    <w:rsid w:val="00030457"/>
    <w:rsid w:val="00074D51"/>
    <w:rsid w:val="00081A64"/>
    <w:rsid w:val="00090244"/>
    <w:rsid w:val="00090A57"/>
    <w:rsid w:val="00091117"/>
    <w:rsid w:val="000942C1"/>
    <w:rsid w:val="000B18F0"/>
    <w:rsid w:val="000C42A9"/>
    <w:rsid w:val="000C43CC"/>
    <w:rsid w:val="000E0DDE"/>
    <w:rsid w:val="000E6C07"/>
    <w:rsid w:val="00101054"/>
    <w:rsid w:val="00101FF2"/>
    <w:rsid w:val="00115F5E"/>
    <w:rsid w:val="001261C7"/>
    <w:rsid w:val="00156889"/>
    <w:rsid w:val="0017000E"/>
    <w:rsid w:val="001A2ED6"/>
    <w:rsid w:val="001A61DD"/>
    <w:rsid w:val="001C191A"/>
    <w:rsid w:val="001F0C3F"/>
    <w:rsid w:val="001F5505"/>
    <w:rsid w:val="00203A26"/>
    <w:rsid w:val="002269AF"/>
    <w:rsid w:val="00252013"/>
    <w:rsid w:val="00253222"/>
    <w:rsid w:val="00271CCC"/>
    <w:rsid w:val="00282049"/>
    <w:rsid w:val="002A13F4"/>
    <w:rsid w:val="002B6123"/>
    <w:rsid w:val="002E52EF"/>
    <w:rsid w:val="00336ACB"/>
    <w:rsid w:val="003428AF"/>
    <w:rsid w:val="00385BF4"/>
    <w:rsid w:val="003A57F5"/>
    <w:rsid w:val="003A7EB6"/>
    <w:rsid w:val="003F781D"/>
    <w:rsid w:val="00420A9F"/>
    <w:rsid w:val="00433053"/>
    <w:rsid w:val="00462C84"/>
    <w:rsid w:val="00485158"/>
    <w:rsid w:val="004868F4"/>
    <w:rsid w:val="004A2F48"/>
    <w:rsid w:val="004B0BBD"/>
    <w:rsid w:val="004D010F"/>
    <w:rsid w:val="004D5B81"/>
    <w:rsid w:val="004E69A2"/>
    <w:rsid w:val="0050349E"/>
    <w:rsid w:val="005157DF"/>
    <w:rsid w:val="00550A2F"/>
    <w:rsid w:val="00560740"/>
    <w:rsid w:val="00560D32"/>
    <w:rsid w:val="00571B0F"/>
    <w:rsid w:val="005751CC"/>
    <w:rsid w:val="005760F9"/>
    <w:rsid w:val="00576E98"/>
    <w:rsid w:val="00580337"/>
    <w:rsid w:val="005A6FAF"/>
    <w:rsid w:val="005C2C5F"/>
    <w:rsid w:val="005C4484"/>
    <w:rsid w:val="005D3F54"/>
    <w:rsid w:val="005E5E25"/>
    <w:rsid w:val="00622D29"/>
    <w:rsid w:val="00630172"/>
    <w:rsid w:val="00641663"/>
    <w:rsid w:val="00684DA9"/>
    <w:rsid w:val="00685647"/>
    <w:rsid w:val="006B56B4"/>
    <w:rsid w:val="006C4C33"/>
    <w:rsid w:val="006D4BFC"/>
    <w:rsid w:val="006F7010"/>
    <w:rsid w:val="00700D2C"/>
    <w:rsid w:val="00721E56"/>
    <w:rsid w:val="00727EB1"/>
    <w:rsid w:val="00754388"/>
    <w:rsid w:val="00755C7E"/>
    <w:rsid w:val="00794B9B"/>
    <w:rsid w:val="007E5115"/>
    <w:rsid w:val="007F168C"/>
    <w:rsid w:val="00802C31"/>
    <w:rsid w:val="0080705A"/>
    <w:rsid w:val="00817D70"/>
    <w:rsid w:val="00817FFA"/>
    <w:rsid w:val="00832A51"/>
    <w:rsid w:val="00852AFE"/>
    <w:rsid w:val="00861D50"/>
    <w:rsid w:val="00886193"/>
    <w:rsid w:val="00897005"/>
    <w:rsid w:val="008A3F92"/>
    <w:rsid w:val="008C656A"/>
    <w:rsid w:val="008F044F"/>
    <w:rsid w:val="008F1521"/>
    <w:rsid w:val="0090226D"/>
    <w:rsid w:val="00902B6F"/>
    <w:rsid w:val="00907318"/>
    <w:rsid w:val="00912220"/>
    <w:rsid w:val="00922CE5"/>
    <w:rsid w:val="00933A1B"/>
    <w:rsid w:val="00943A29"/>
    <w:rsid w:val="00965748"/>
    <w:rsid w:val="00970662"/>
    <w:rsid w:val="00990D2D"/>
    <w:rsid w:val="009B25A8"/>
    <w:rsid w:val="009D1F20"/>
    <w:rsid w:val="009E3465"/>
    <w:rsid w:val="00A01483"/>
    <w:rsid w:val="00A11518"/>
    <w:rsid w:val="00A329BE"/>
    <w:rsid w:val="00A87695"/>
    <w:rsid w:val="00AC6BF0"/>
    <w:rsid w:val="00B51B09"/>
    <w:rsid w:val="00B653F5"/>
    <w:rsid w:val="00B70B1F"/>
    <w:rsid w:val="00BA11BB"/>
    <w:rsid w:val="00BA414C"/>
    <w:rsid w:val="00BB03E8"/>
    <w:rsid w:val="00BB3ABA"/>
    <w:rsid w:val="00BB6B22"/>
    <w:rsid w:val="00BD7C5E"/>
    <w:rsid w:val="00BE7B77"/>
    <w:rsid w:val="00C1310B"/>
    <w:rsid w:val="00C23D6C"/>
    <w:rsid w:val="00C27694"/>
    <w:rsid w:val="00C34E0C"/>
    <w:rsid w:val="00C439F0"/>
    <w:rsid w:val="00C54903"/>
    <w:rsid w:val="00C714A8"/>
    <w:rsid w:val="00C77501"/>
    <w:rsid w:val="00CD1EE1"/>
    <w:rsid w:val="00CF33EC"/>
    <w:rsid w:val="00CF6DFE"/>
    <w:rsid w:val="00D06C79"/>
    <w:rsid w:val="00D2165C"/>
    <w:rsid w:val="00D523D3"/>
    <w:rsid w:val="00D61165"/>
    <w:rsid w:val="00DB1FD7"/>
    <w:rsid w:val="00DD11A1"/>
    <w:rsid w:val="00DE12D6"/>
    <w:rsid w:val="00E2723F"/>
    <w:rsid w:val="00E434B8"/>
    <w:rsid w:val="00E52FAB"/>
    <w:rsid w:val="00E53170"/>
    <w:rsid w:val="00E60EBF"/>
    <w:rsid w:val="00E827B0"/>
    <w:rsid w:val="00EE475A"/>
    <w:rsid w:val="00EE6AAB"/>
    <w:rsid w:val="00EF2055"/>
    <w:rsid w:val="00F107E3"/>
    <w:rsid w:val="00F147CC"/>
    <w:rsid w:val="00F27116"/>
    <w:rsid w:val="00F50B09"/>
    <w:rsid w:val="00F824E8"/>
    <w:rsid w:val="00F91853"/>
    <w:rsid w:val="00F96FF4"/>
    <w:rsid w:val="00FA00B9"/>
    <w:rsid w:val="00FB1D52"/>
    <w:rsid w:val="00FB7D23"/>
    <w:rsid w:val="00FC3081"/>
    <w:rsid w:val="00FD136C"/>
    <w:rsid w:val="00FF24B4"/>
    <w:rsid w:val="03C712D0"/>
    <w:rsid w:val="0B9C4099"/>
    <w:rsid w:val="1E367F04"/>
    <w:rsid w:val="1F5D1730"/>
    <w:rsid w:val="3A816636"/>
    <w:rsid w:val="406E6DB0"/>
    <w:rsid w:val="49936195"/>
    <w:rsid w:val="56965010"/>
    <w:rsid w:val="57D23F87"/>
    <w:rsid w:val="57DC07D5"/>
    <w:rsid w:val="58B97770"/>
    <w:rsid w:val="615B214A"/>
    <w:rsid w:val="73EA5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8"/>
    <w:semiHidden/>
    <w:unhideWhenUsed/>
    <w:qFormat/>
    <w:uiPriority w:val="99"/>
    <w:rPr>
      <w:b/>
      <w:bCs/>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styleId="12">
    <w:name w:val="annotation reference"/>
    <w:basedOn w:val="9"/>
    <w:semiHidden/>
    <w:unhideWhenUsed/>
    <w:qFormat/>
    <w:uiPriority w:val="99"/>
    <w:rPr>
      <w:sz w:val="21"/>
      <w:szCs w:val="21"/>
    </w:rPr>
  </w:style>
  <w:style w:type="character" w:customStyle="1" w:styleId="13">
    <w:name w:val="页眉 Char"/>
    <w:basedOn w:val="9"/>
    <w:link w:val="5"/>
    <w:qFormat/>
    <w:uiPriority w:val="99"/>
    <w:rPr>
      <w:sz w:val="18"/>
      <w:szCs w:val="18"/>
    </w:rPr>
  </w:style>
  <w:style w:type="paragraph" w:customStyle="1" w:styleId="14">
    <w:name w:val="标题2"/>
    <w:basedOn w:val="1"/>
    <w:qFormat/>
    <w:uiPriority w:val="0"/>
    <w:pPr>
      <w:autoSpaceDE w:val="0"/>
      <w:autoSpaceDN w:val="0"/>
      <w:adjustRightInd w:val="0"/>
      <w:spacing w:line="360" w:lineRule="auto"/>
      <w:jc w:val="left"/>
    </w:pPr>
    <w:rPr>
      <w:rFonts w:ascii="宋体"/>
      <w:kern w:val="0"/>
      <w:sz w:val="24"/>
      <w:szCs w:val="20"/>
    </w:rPr>
  </w:style>
  <w:style w:type="character" w:customStyle="1" w:styleId="15">
    <w:name w:val="页脚 Char"/>
    <w:basedOn w:val="9"/>
    <w:link w:val="4"/>
    <w:qFormat/>
    <w:uiPriority w:val="99"/>
    <w:rPr>
      <w:sz w:val="18"/>
      <w:szCs w:val="18"/>
    </w:rPr>
  </w:style>
  <w:style w:type="character" w:customStyle="1" w:styleId="16">
    <w:name w:val="批注框文本 Char"/>
    <w:basedOn w:val="9"/>
    <w:link w:val="3"/>
    <w:semiHidden/>
    <w:qFormat/>
    <w:uiPriority w:val="99"/>
    <w:rPr>
      <w:kern w:val="2"/>
      <w:sz w:val="18"/>
      <w:szCs w:val="18"/>
    </w:rPr>
  </w:style>
  <w:style w:type="character" w:customStyle="1" w:styleId="17">
    <w:name w:val="批注文字 Char"/>
    <w:basedOn w:val="9"/>
    <w:link w:val="2"/>
    <w:semiHidden/>
    <w:qFormat/>
    <w:uiPriority w:val="99"/>
    <w:rPr>
      <w:kern w:val="2"/>
      <w:sz w:val="21"/>
      <w:szCs w:val="24"/>
    </w:rPr>
  </w:style>
  <w:style w:type="character" w:customStyle="1" w:styleId="18">
    <w:name w:val="批注主题 Char"/>
    <w:basedOn w:val="17"/>
    <w:link w:val="7"/>
    <w:semiHidden/>
    <w:qFormat/>
    <w:uiPriority w:val="99"/>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5911</Words>
  <Characters>5995</Characters>
  <Lines>10</Lines>
  <Paragraphs>3</Paragraphs>
  <TotalTime>1</TotalTime>
  <ScaleCrop>false</ScaleCrop>
  <LinksUpToDate>false</LinksUpToDate>
  <CharactersWithSpaces>5995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2024-08-16T14:27:00Z</dcterms:created>
  <dc:creator>12492</dc:creator>
  <cp:lastModifiedBy>zhang</cp:lastModifiedBy>
  <dcterms:modified xsi:type="dcterms:W3CDTF">2026-09-15T06:58:51Z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165971F110DF4E4F9513C1E93AC2C400</vt:lpwstr>
  </property>
  <property fmtid="{D5CDD505-2E9C-101B-9397-08002B2CF9AE}" pid="4" name="KSOTemplateDocerSaveRecord">
    <vt:lpwstr>eyJoZGlkIjoiNTE3YjQ4OGI0NzMxNjRmNDQ5MGJjOGQ4Yjg4ZmI3MzMiLCJ1c2VySWQiOiIyMzE5MDIyNjMifQ==</vt:lpwstr>
  </property>
</Properties>
</file>