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Times New Roman"/>
          <w:b/>
          <w:sz w:val="36"/>
          <w:szCs w:val="36"/>
        </w:rPr>
      </w:pPr>
      <w:r>
        <w:rPr>
          <w:rFonts w:hint="eastAsia" w:ascii="宋体" w:hAnsi="宋体"/>
          <w:sz w:val="18"/>
          <w:szCs w:val="18"/>
          <w:u w:val="single"/>
        </w:rPr>
        <w:t>淮安市第一人民医院</w:t>
      </w:r>
      <w:r>
        <w:rPr>
          <w:rFonts w:hint="eastAsia" w:ascii="宋体" w:hAnsi="宋体"/>
          <w:sz w:val="18"/>
          <w:szCs w:val="18"/>
          <w:u w:val="single"/>
          <w:lang w:eastAsia="zh-CN"/>
        </w:rPr>
        <w:t>护理部</w:t>
      </w:r>
      <w:r>
        <w:rPr>
          <w:rFonts w:ascii="宋体" w:hAnsi="宋体"/>
          <w:sz w:val="18"/>
          <w:szCs w:val="18"/>
          <w:u w:val="single"/>
        </w:rPr>
        <w:t xml:space="preserve">         </w:t>
      </w:r>
      <w:r>
        <w:rPr>
          <w:rFonts w:hint="eastAsia" w:ascii="宋体" w:hAnsi="宋体"/>
          <w:sz w:val="18"/>
          <w:szCs w:val="18"/>
          <w:u w:val="single"/>
        </w:rPr>
        <w:t xml:space="preserve">    </w:t>
      </w:r>
      <w:r>
        <w:rPr>
          <w:rFonts w:ascii="宋体" w:hAnsi="宋体"/>
          <w:sz w:val="18"/>
          <w:szCs w:val="18"/>
          <w:u w:val="single"/>
        </w:rPr>
        <w:t xml:space="preserve">       </w:t>
      </w:r>
      <w:r>
        <w:rPr>
          <w:rFonts w:hint="eastAsia" w:ascii="宋体" w:hAnsi="宋体"/>
          <w:sz w:val="18"/>
          <w:szCs w:val="18"/>
          <w:u w:val="single"/>
        </w:rPr>
        <w:t xml:space="preserve">                                           20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21</w:t>
      </w:r>
      <w:r>
        <w:rPr>
          <w:rFonts w:hint="eastAsia" w:ascii="宋体" w:hAnsi="宋体"/>
          <w:sz w:val="18"/>
          <w:szCs w:val="18"/>
          <w:u w:val="single"/>
        </w:rPr>
        <w:t>年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5</w:t>
      </w:r>
      <w:r>
        <w:rPr>
          <w:rFonts w:hint="eastAsia" w:ascii="宋体" w:hAnsi="宋体"/>
          <w:sz w:val="18"/>
          <w:szCs w:val="18"/>
          <w:u w:val="single"/>
        </w:rPr>
        <w:t>月修订</w:t>
      </w:r>
    </w:p>
    <w:p>
      <w:pPr>
        <w:spacing w:beforeLines="100" w:afterLines="50" w:line="276" w:lineRule="auto"/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  <w:lang w:eastAsia="zh-CN"/>
        </w:rPr>
        <w:t>清洁灌肠</w:t>
      </w:r>
      <w:r>
        <w:rPr>
          <w:rFonts w:hint="eastAsia" w:ascii="宋体" w:hAnsi="宋体"/>
          <w:b/>
          <w:sz w:val="36"/>
          <w:szCs w:val="36"/>
        </w:rPr>
        <w:t>考核评分标准</w:t>
      </w:r>
    </w:p>
    <w:p>
      <w:pPr>
        <w:spacing w:after="156" w:afterLines="50"/>
        <w:jc w:val="center"/>
        <w:rPr>
          <w:rFonts w:hint="eastAsia" w:ascii="宋体" w:hAnsi="宋体" w:eastAsia="宋体"/>
          <w:sz w:val="18"/>
          <w:szCs w:val="18"/>
          <w:u w:val="single"/>
          <w:lang w:eastAsia="zh-CN"/>
        </w:rPr>
      </w:pPr>
      <w:r>
        <w:rPr>
          <w:rFonts w:hint="eastAsia" w:ascii="宋体" w:hAnsi="宋体" w:eastAsia="宋体"/>
          <w:sz w:val="18"/>
          <w:szCs w:val="18"/>
        </w:rPr>
        <w:t>组稿者：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</w:t>
      </w:r>
      <w:r>
        <w:rPr>
          <w:rFonts w:hint="eastAsia" w:ascii="宋体" w:hAnsi="宋体"/>
          <w:sz w:val="18"/>
          <w:szCs w:val="18"/>
          <w:u w:val="single"/>
          <w:lang w:eastAsia="zh-CN"/>
        </w:rPr>
        <w:t>徐云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</w:t>
      </w:r>
      <w:r>
        <w:rPr>
          <w:rFonts w:hint="eastAsia" w:ascii="宋体" w:hAnsi="宋体" w:eastAsia="宋体"/>
          <w:sz w:val="18"/>
          <w:szCs w:val="18"/>
        </w:rPr>
        <w:t xml:space="preserve"> 审稿者：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</w:t>
      </w:r>
      <w:r>
        <w:rPr>
          <w:rFonts w:hint="eastAsia" w:ascii="宋体" w:hAnsi="宋体"/>
          <w:sz w:val="18"/>
          <w:szCs w:val="18"/>
          <w:u w:val="single"/>
          <w:lang w:eastAsia="zh-CN"/>
        </w:rPr>
        <w:t>王正梅</w:t>
      </w:r>
      <w:bookmarkStart w:id="0" w:name="_GoBack"/>
      <w:bookmarkEnd w:id="0"/>
      <w:r>
        <w:rPr>
          <w:rFonts w:hint="eastAsia" w:ascii="宋体" w:hAnsi="宋体" w:eastAsia="宋体"/>
          <w:sz w:val="18"/>
          <w:szCs w:val="18"/>
          <w:u w:val="single"/>
        </w:rPr>
        <w:t xml:space="preserve"> </w:t>
      </w:r>
      <w:r>
        <w:rPr>
          <w:rFonts w:hint="eastAsia" w:ascii="宋体" w:hAnsi="宋体" w:eastAsia="宋体"/>
          <w:sz w:val="18"/>
          <w:szCs w:val="18"/>
        </w:rPr>
        <w:t xml:space="preserve"> 批准者：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 院护理质量与安全管理委员会  </w:t>
      </w:r>
      <w:r>
        <w:rPr>
          <w:rFonts w:hint="eastAsia" w:ascii="宋体" w:hAnsi="宋体" w:eastAsia="宋体"/>
          <w:sz w:val="18"/>
          <w:szCs w:val="18"/>
        </w:rPr>
        <w:t xml:space="preserve"> 执行时间：</w:t>
      </w:r>
      <w:r>
        <w:rPr>
          <w:rFonts w:hint="eastAsia" w:ascii="宋体" w:hAnsi="宋体" w:eastAsia="宋体"/>
          <w:sz w:val="18"/>
          <w:szCs w:val="18"/>
          <w:u w:val="single"/>
        </w:rPr>
        <w:t xml:space="preserve"> 20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21</w:t>
      </w:r>
      <w:r>
        <w:rPr>
          <w:rFonts w:hint="eastAsia" w:ascii="宋体" w:hAnsi="宋体" w:eastAsia="宋体"/>
          <w:sz w:val="18"/>
          <w:szCs w:val="18"/>
          <w:u w:val="single"/>
        </w:rPr>
        <w:t>.</w:t>
      </w:r>
      <w:r>
        <w:rPr>
          <w:rFonts w:hint="eastAsia" w:ascii="宋体" w:hAnsi="宋体"/>
          <w:sz w:val="18"/>
          <w:szCs w:val="18"/>
          <w:u w:val="single"/>
          <w:lang w:val="en-US" w:eastAsia="zh-CN"/>
        </w:rPr>
        <w:t>5</w:t>
      </w:r>
    </w:p>
    <w:p>
      <w:pPr>
        <w:spacing w:afterLines="50"/>
        <w:ind w:firstLine="120" w:firstLineChars="50"/>
        <w:jc w:val="left"/>
        <w:rPr>
          <w:rFonts w:asciiTheme="majorEastAsia" w:hAnsiTheme="majorEastAsia" w:eastAsiaTheme="majorEastAsia"/>
          <w:sz w:val="36"/>
          <w:szCs w:val="36"/>
          <w:u w:val="single"/>
        </w:rPr>
      </w:pPr>
      <w:r>
        <w:rPr>
          <w:rFonts w:hint="eastAsia" w:asciiTheme="majorEastAsia" w:hAnsiTheme="majorEastAsia" w:eastAsiaTheme="majorEastAsia"/>
          <w:sz w:val="24"/>
        </w:rPr>
        <w:t>科室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sz w:val="24"/>
        </w:rPr>
        <w:t>院号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</w:t>
      </w:r>
      <w:r>
        <w:rPr>
          <w:rFonts w:hint="eastAsia" w:asciiTheme="majorEastAsia" w:hAnsiTheme="majorEastAsia" w:eastAsiaTheme="majorEastAsia"/>
          <w:sz w:val="24"/>
        </w:rPr>
        <w:t xml:space="preserve"> 姓名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 </w:t>
      </w:r>
      <w:r>
        <w:rPr>
          <w:rFonts w:hint="eastAsia" w:asciiTheme="majorEastAsia" w:hAnsiTheme="majorEastAsia" w:eastAsiaTheme="majorEastAsia"/>
          <w:sz w:val="24"/>
        </w:rPr>
        <w:t xml:space="preserve"> 得分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</w:t>
      </w:r>
      <w:r>
        <w:rPr>
          <w:rFonts w:hint="eastAsia" w:asciiTheme="majorEastAsia" w:hAnsiTheme="majorEastAsia" w:eastAsiaTheme="majorEastAsia"/>
          <w:sz w:val="24"/>
        </w:rPr>
        <w:t>评委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</w:t>
      </w:r>
      <w:r>
        <w:rPr>
          <w:rFonts w:hint="eastAsia" w:asciiTheme="majorEastAsia" w:hAnsiTheme="majorEastAsia" w:eastAsiaTheme="majorEastAsia"/>
          <w:sz w:val="24"/>
        </w:rPr>
        <w:t xml:space="preserve"> 日期</w:t>
      </w:r>
      <w:r>
        <w:rPr>
          <w:rFonts w:hint="eastAsia" w:asciiTheme="majorEastAsia" w:hAnsiTheme="majorEastAsia" w:eastAsiaTheme="majorEastAsia"/>
          <w:sz w:val="24"/>
          <w:u w:val="single"/>
        </w:rPr>
        <w:t xml:space="preserve">        </w:t>
      </w:r>
    </w:p>
    <w:tbl>
      <w:tblPr>
        <w:tblStyle w:val="4"/>
        <w:tblW w:w="106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"/>
        <w:gridCol w:w="5140"/>
        <w:gridCol w:w="709"/>
        <w:gridCol w:w="226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728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项目</w:t>
            </w:r>
          </w:p>
        </w:tc>
        <w:tc>
          <w:tcPr>
            <w:tcW w:w="5140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18"/>
                <w:szCs w:val="18"/>
              </w:rPr>
              <w:t>操作内容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18"/>
                <w:szCs w:val="18"/>
              </w:rPr>
              <w:t>标准</w:t>
            </w:r>
          </w:p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18"/>
                <w:szCs w:val="18"/>
              </w:rPr>
              <w:t>分</w:t>
            </w:r>
          </w:p>
        </w:tc>
        <w:tc>
          <w:tcPr>
            <w:tcW w:w="2268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18"/>
                <w:szCs w:val="18"/>
              </w:rPr>
              <w:t>扣分原因</w:t>
            </w:r>
          </w:p>
        </w:tc>
        <w:tc>
          <w:tcPr>
            <w:tcW w:w="1757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18"/>
                <w:szCs w:val="18"/>
              </w:rPr>
              <w:t>存在问题及扣分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  <w:jc w:val="center"/>
        </w:trPr>
        <w:tc>
          <w:tcPr>
            <w:tcW w:w="728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评估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10分</w:t>
            </w:r>
          </w:p>
        </w:tc>
        <w:tc>
          <w:tcPr>
            <w:tcW w:w="5140" w:type="dxa"/>
            <w:vAlign w:val="center"/>
          </w:tcPr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评估患者(姓名、年龄、诊断、病情、意识状态、合作程度、肛周皮肤情况、排便情况及有无灌肠禁忌症)</w:t>
            </w:r>
          </w:p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评估患者周围环境</w:t>
            </w:r>
          </w:p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3.告知患者：对清醒患者，要告知灌肠目的、方法及配合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Cs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缺一项扣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分</w:t>
            </w: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  <w:jc w:val="center"/>
        </w:trPr>
        <w:tc>
          <w:tcPr>
            <w:tcW w:w="728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操作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准备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分</w:t>
            </w:r>
          </w:p>
        </w:tc>
        <w:tc>
          <w:tcPr>
            <w:tcW w:w="5140" w:type="dxa"/>
            <w:vAlign w:val="center"/>
          </w:tcPr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洗手，戴口罩</w:t>
            </w:r>
          </w:p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准备用物：①治疗盘内放一次性肠道冲洗器一套、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12号吸痰管、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一次性中单（1张）、量筒、水温计、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1ml注射器、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石蜡油、无菌棉签、弯盘、手套、卫生纸。②便盆、输液架、屏风。③按医嘱备灌肠液体（常用溶液：0.1%-0.2%肥皂液或生理盐水500-1000ml，温度39-41℃。）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hint="default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一项不符合扣1分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物品少或多一项样扣1分，最多扣4分</w:t>
            </w:r>
          </w:p>
          <w:p>
            <w:pPr>
              <w:pStyle w:val="7"/>
              <w:numPr>
                <w:ilvl w:val="0"/>
                <w:numId w:val="1"/>
              </w:numPr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物品摆放乱扣1分</w:t>
            </w: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6" w:hRule="atLeast"/>
          <w:jc w:val="center"/>
        </w:trPr>
        <w:tc>
          <w:tcPr>
            <w:tcW w:w="728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操作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要点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val="en-US" w:eastAsia="zh-CN"/>
              </w:rPr>
              <w:t>60</w:t>
            </w: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分</w:t>
            </w:r>
          </w:p>
        </w:tc>
        <w:tc>
          <w:tcPr>
            <w:tcW w:w="5140" w:type="dxa"/>
            <w:vAlign w:val="center"/>
          </w:tcPr>
          <w:p>
            <w:pP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思源宋体 CN" w:hAnsi="思源宋体 CN" w:eastAsia="思源宋体 CN" w:cs="思源宋体 CN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.携用物至患者床旁核对床号、姓名</w:t>
            </w:r>
          </w:p>
          <w:p>
            <w:pP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2.告知患者操作流程和配合，关闭门窗、遮挡患者</w:t>
            </w:r>
          </w:p>
          <w:p>
            <w:pP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3．根据病情及病变部位选择适当的体位(常用侧卧位),将裤腿退至膝部，臀下垫橡胶中单和垫巾，弯盘置于臀边。盖好盖被。</w:t>
            </w:r>
          </w:p>
          <w:p>
            <w:pPr>
              <w:rPr>
                <w:rFonts w:hint="default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4.连接吸痰管。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5.将配好溶液倒入一次性肠道冲洗袋中并挂于输液架上，灌肠袋内液面距肛门40-60cm。打开调节器放少量溶液，排尽管内气体，用血管钳夹紧管子关闭调节器，放于弯盘内。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 xml:space="preserve">6.戴手套，抽取1ml液状石蜡，润滑注射器乳头，将注射器乳头插入肛门，推注1ml液状石蜡油。 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7.润滑肛管前端，左手分开病人臀部暴露肛门，右手将肛管自肛门插入7-10cm,左手固定肛管，右手打开调节器，使溶液缓缓流入 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8.观察：①灌肠液下降情况及病人反应。②如溶液流入受阻，可移动或挤压肛管，检查有无粪块阻塞。③灌肠过程中如患者感觉腹胀或有便意，指导其做深呼吸，同时适当调低灌肠筒的高度，减慢流速或暂停片刻以减轻腹压。④如患者出现面色苍白、出冷汗，剧烈腹痛，心慌气急，应立即停止灌肠，并及时报告医生配合处理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="思源宋体 CN" w:hAnsi="思源宋体 CN" w:eastAsia="思源宋体 CN" w:cs="思源宋体 CN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9．药液注入完毕，夹闭肛管用卫生纸包住肛管，轻轻拔出置于弯盘内，擦净肛门，协助患者平卧，尽可能保留5～10min后再排便。不便下床者，给予便器</w:t>
            </w:r>
            <w:r>
              <w:rPr>
                <w:rFonts w:hint="eastAsia" w:ascii="思源宋体 CN" w:hAnsi="思源宋体 CN" w:eastAsia="思源宋体 CN" w:cs="思源宋体 CN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rPr>
                <w:rFonts w:hint="eastAsia" w:ascii="思源宋体 CN" w:hAnsi="思源宋体 CN" w:eastAsia="思源宋体 CN" w:cs="思源宋体 CN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10．询问和观察患者反应，告知注意事项,协助患者取舒适体位,整理床单位和用物。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hint="default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226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未核对扣5分,一处不符合要求扣1分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一处不符合要求扣2分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不用手固定肛管扣2分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未观察扣2分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一处不符合要求扣2分</w:t>
            </w:r>
          </w:p>
          <w:p>
            <w:pPr>
              <w:pStyle w:val="7"/>
              <w:numPr>
                <w:ilvl w:val="0"/>
                <w:numId w:val="0"/>
              </w:numPr>
              <w:tabs>
                <w:tab w:val="left" w:pos="34"/>
              </w:tabs>
              <w:spacing w:line="260" w:lineRule="exact"/>
              <w:ind w:left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728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终末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处理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5分</w:t>
            </w:r>
          </w:p>
        </w:tc>
        <w:tc>
          <w:tcPr>
            <w:tcW w:w="5140" w:type="dxa"/>
            <w:vAlign w:val="center"/>
          </w:tcPr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处理用物，垃圾分类放置</w:t>
            </w:r>
          </w:p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洗手</w:t>
            </w:r>
          </w:p>
          <w:p>
            <w:pPr>
              <w:pStyle w:val="7"/>
              <w:numPr>
                <w:ilvl w:val="0"/>
                <w:numId w:val="0"/>
              </w:numPr>
              <w:spacing w:line="260" w:lineRule="exact"/>
              <w:ind w:left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记录，在当天体温单的大便栏内正确记录灌肠结果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hint="default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26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缺一步扣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不记录或记录不准确扣2分</w:t>
            </w: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  <w:jc w:val="center"/>
        </w:trPr>
        <w:tc>
          <w:tcPr>
            <w:tcW w:w="728" w:type="dxa"/>
            <w:vAlign w:val="center"/>
          </w:tcPr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评价</w:t>
            </w:r>
          </w:p>
          <w:p>
            <w:pPr>
              <w:spacing w:line="240" w:lineRule="exact"/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10分</w:t>
            </w:r>
          </w:p>
        </w:tc>
        <w:tc>
          <w:tcPr>
            <w:tcW w:w="5140" w:type="dxa"/>
            <w:vAlign w:val="center"/>
          </w:tcPr>
          <w:p>
            <w:pPr>
              <w:numPr>
                <w:ilvl w:val="0"/>
                <w:numId w:val="0"/>
              </w:numPr>
              <w:spacing w:line="260" w:lineRule="exact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操作熟练，动作一次到位</w:t>
            </w:r>
          </w:p>
          <w:p>
            <w:pPr>
              <w:numPr>
                <w:ilvl w:val="0"/>
                <w:numId w:val="0"/>
              </w:numPr>
              <w:spacing w:line="260" w:lineRule="exact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语言通俗易懂，态度和蔼，沟通有效完成时间不超过</w:t>
            </w:r>
          </w:p>
          <w:p>
            <w:pPr>
              <w:numPr>
                <w:ilvl w:val="0"/>
                <w:numId w:val="0"/>
              </w:numPr>
              <w:spacing w:line="260" w:lineRule="exac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3.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全过程动作熟练、规范，符合操作原则</w:t>
            </w:r>
          </w:p>
        </w:tc>
        <w:tc>
          <w:tcPr>
            <w:tcW w:w="709" w:type="dxa"/>
            <w:vAlign w:val="center"/>
          </w:tcPr>
          <w:p>
            <w:pPr>
              <w:widowControl/>
              <w:spacing w:line="20" w:lineRule="atLeast"/>
              <w:jc w:val="center"/>
              <w:rPr>
                <w:rFonts w:asciiTheme="minorEastAsia" w:hAnsiTheme="minorEastAsia" w:eastAsiaTheme="minorEastAsia"/>
                <w:bCs/>
                <w:kern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2268" w:type="dxa"/>
            <w:vAlign w:val="center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态度、语言不符合要求各扣1分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60" w:lineRule="exact"/>
              <w:ind w:left="175" w:hanging="175" w:firstLineChars="0"/>
              <w:rPr>
                <w:rFonts w:hint="eastAsia" w:ascii="宋体" w:hAnsi="宋体" w:eastAsia="宋体" w:cstheme="minorBidi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沟通无效扣2分</w:t>
            </w: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7" w:hRule="atLeast"/>
          <w:jc w:val="center"/>
        </w:trPr>
        <w:tc>
          <w:tcPr>
            <w:tcW w:w="728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理论提问</w:t>
            </w:r>
          </w:p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  <w:lang w:val="en-US" w:eastAsia="zh-CN"/>
              </w:rPr>
              <w:t>5分</w:t>
            </w:r>
          </w:p>
        </w:tc>
        <w:tc>
          <w:tcPr>
            <w:tcW w:w="5140" w:type="dxa"/>
            <w:vAlign w:val="center"/>
          </w:tcPr>
          <w:p>
            <w:pPr>
              <w:numPr>
                <w:ilvl w:val="0"/>
                <w:numId w:val="0"/>
              </w:numPr>
              <w:spacing w:line="300" w:lineRule="exact"/>
              <w:jc w:val="left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1.灌肠的注意事项</w:t>
            </w:r>
          </w:p>
          <w:p>
            <w:pPr>
              <w:numPr>
                <w:ilvl w:val="0"/>
                <w:numId w:val="0"/>
              </w:numPr>
              <w:spacing w:line="300" w:lineRule="exact"/>
              <w:jc w:val="left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  <w:t>2.灌肠的操作并发症</w:t>
            </w:r>
          </w:p>
        </w:tc>
        <w:tc>
          <w:tcPr>
            <w:tcW w:w="709" w:type="dxa"/>
            <w:vAlign w:val="top"/>
          </w:tcPr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</w:rPr>
            </w:pPr>
          </w:p>
          <w:p>
            <w:pPr>
              <w:numPr>
                <w:ilvl w:val="0"/>
                <w:numId w:val="0"/>
              </w:numPr>
              <w:spacing w:line="300" w:lineRule="exact"/>
              <w:ind w:leftChars="0"/>
              <w:jc w:val="center"/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2268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40" w:lineRule="auto"/>
              <w:ind w:left="175" w:hanging="175" w:firstLineChars="0"/>
              <w:jc w:val="left"/>
              <w:rPr>
                <w:rFonts w:hint="eastAsia" w:cs="宋体" w:asciiTheme="minorEastAsia" w:hAnsiTheme="minorEastAsia" w:eastAsiaTheme="minorEastAsia"/>
                <w:color w:val="auto"/>
                <w:sz w:val="18"/>
                <w:szCs w:val="21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18"/>
                <w:szCs w:val="21"/>
              </w:rPr>
              <w:t>不知晓不得分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34"/>
              </w:tabs>
              <w:spacing w:line="240" w:lineRule="auto"/>
              <w:ind w:left="175" w:hanging="175" w:firstLineChars="0"/>
              <w:jc w:val="left"/>
              <w:rPr>
                <w:rFonts w:hint="eastAsia" w:asciiTheme="minorEastAsia" w:hAnsiTheme="minorEastAsia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="宋体" w:asciiTheme="minorEastAsia" w:hAnsiTheme="minorEastAsia" w:eastAsiaTheme="minorEastAsia"/>
                <w:color w:val="auto"/>
                <w:sz w:val="18"/>
                <w:szCs w:val="21"/>
              </w:rPr>
              <w:t>不熟悉扣1～2分</w:t>
            </w:r>
          </w:p>
        </w:tc>
        <w:tc>
          <w:tcPr>
            <w:tcW w:w="1757" w:type="dxa"/>
            <w:vAlign w:val="center"/>
          </w:tcPr>
          <w:p>
            <w:pPr>
              <w:spacing w:line="280" w:lineRule="exact"/>
              <w:rPr>
                <w:rFonts w:asciiTheme="minorEastAsia" w:hAnsiTheme="minorEastAsia" w:eastAsiaTheme="minorEastAsia"/>
                <w:kern w:val="0"/>
                <w:sz w:val="18"/>
                <w:szCs w:val="18"/>
              </w:rPr>
            </w:pPr>
          </w:p>
        </w:tc>
      </w:tr>
    </w:tbl>
    <w:p>
      <w:pPr>
        <w:widowControl/>
        <w:spacing w:line="20" w:lineRule="atLeast"/>
      </w:pPr>
    </w:p>
    <w:sectPr>
      <w:pgSz w:w="11906" w:h="16838"/>
      <w:pgMar w:top="426" w:right="1416" w:bottom="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CN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40193F"/>
    <w:multiLevelType w:val="multilevel"/>
    <w:tmpl w:val="354019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F7DFD"/>
    <w:rsid w:val="000343DD"/>
    <w:rsid w:val="00036AC9"/>
    <w:rsid w:val="00066F72"/>
    <w:rsid w:val="00070087"/>
    <w:rsid w:val="00077C34"/>
    <w:rsid w:val="00080A15"/>
    <w:rsid w:val="000A577D"/>
    <w:rsid w:val="000E04D3"/>
    <w:rsid w:val="000E7F31"/>
    <w:rsid w:val="000F6C4E"/>
    <w:rsid w:val="001136A2"/>
    <w:rsid w:val="00114F41"/>
    <w:rsid w:val="00132B99"/>
    <w:rsid w:val="001420C0"/>
    <w:rsid w:val="00155A2C"/>
    <w:rsid w:val="00190DF9"/>
    <w:rsid w:val="001945BB"/>
    <w:rsid w:val="001A0A65"/>
    <w:rsid w:val="001A2DDD"/>
    <w:rsid w:val="001A6E0A"/>
    <w:rsid w:val="001B79BE"/>
    <w:rsid w:val="001C5F0F"/>
    <w:rsid w:val="001E0115"/>
    <w:rsid w:val="001E72BF"/>
    <w:rsid w:val="001F3B81"/>
    <w:rsid w:val="0021000F"/>
    <w:rsid w:val="0023370C"/>
    <w:rsid w:val="00233F11"/>
    <w:rsid w:val="00263218"/>
    <w:rsid w:val="00276EC8"/>
    <w:rsid w:val="00282766"/>
    <w:rsid w:val="002A01D0"/>
    <w:rsid w:val="002A3199"/>
    <w:rsid w:val="002D1BF7"/>
    <w:rsid w:val="002D48DE"/>
    <w:rsid w:val="002D7C29"/>
    <w:rsid w:val="002E71A6"/>
    <w:rsid w:val="002F01FA"/>
    <w:rsid w:val="002F7ED8"/>
    <w:rsid w:val="003127F7"/>
    <w:rsid w:val="00317A96"/>
    <w:rsid w:val="00320893"/>
    <w:rsid w:val="003209E3"/>
    <w:rsid w:val="00330EDF"/>
    <w:rsid w:val="00333A90"/>
    <w:rsid w:val="0033651C"/>
    <w:rsid w:val="00365824"/>
    <w:rsid w:val="0037144C"/>
    <w:rsid w:val="00385BA6"/>
    <w:rsid w:val="003A2E46"/>
    <w:rsid w:val="003B1074"/>
    <w:rsid w:val="003D33CD"/>
    <w:rsid w:val="003D6BB1"/>
    <w:rsid w:val="0041184A"/>
    <w:rsid w:val="004217E9"/>
    <w:rsid w:val="00422772"/>
    <w:rsid w:val="00435A62"/>
    <w:rsid w:val="00453219"/>
    <w:rsid w:val="00462F81"/>
    <w:rsid w:val="00463694"/>
    <w:rsid w:val="00472FB4"/>
    <w:rsid w:val="004914F9"/>
    <w:rsid w:val="004A0C96"/>
    <w:rsid w:val="004B0D0E"/>
    <w:rsid w:val="004C229B"/>
    <w:rsid w:val="004D02AD"/>
    <w:rsid w:val="004F4E15"/>
    <w:rsid w:val="00506E2D"/>
    <w:rsid w:val="00515411"/>
    <w:rsid w:val="00522D8A"/>
    <w:rsid w:val="00525703"/>
    <w:rsid w:val="00525DDE"/>
    <w:rsid w:val="00542849"/>
    <w:rsid w:val="00577A6C"/>
    <w:rsid w:val="00584318"/>
    <w:rsid w:val="005B43C7"/>
    <w:rsid w:val="005B7454"/>
    <w:rsid w:val="005C4878"/>
    <w:rsid w:val="005D0BA4"/>
    <w:rsid w:val="005D24FF"/>
    <w:rsid w:val="005E10CD"/>
    <w:rsid w:val="005F3B63"/>
    <w:rsid w:val="00616925"/>
    <w:rsid w:val="00631FEE"/>
    <w:rsid w:val="00632024"/>
    <w:rsid w:val="006350D8"/>
    <w:rsid w:val="006455A0"/>
    <w:rsid w:val="006607E2"/>
    <w:rsid w:val="00682674"/>
    <w:rsid w:val="00686216"/>
    <w:rsid w:val="006879F1"/>
    <w:rsid w:val="006A4B61"/>
    <w:rsid w:val="006B1159"/>
    <w:rsid w:val="006F2A3F"/>
    <w:rsid w:val="006F444C"/>
    <w:rsid w:val="007056A6"/>
    <w:rsid w:val="00705F95"/>
    <w:rsid w:val="00775425"/>
    <w:rsid w:val="007A3064"/>
    <w:rsid w:val="007A7C16"/>
    <w:rsid w:val="007B5807"/>
    <w:rsid w:val="007D5EA0"/>
    <w:rsid w:val="007E1300"/>
    <w:rsid w:val="007E7827"/>
    <w:rsid w:val="00816BB7"/>
    <w:rsid w:val="0082462C"/>
    <w:rsid w:val="0084006D"/>
    <w:rsid w:val="00840595"/>
    <w:rsid w:val="00840A5D"/>
    <w:rsid w:val="00872237"/>
    <w:rsid w:val="00875CAF"/>
    <w:rsid w:val="00876DB2"/>
    <w:rsid w:val="008805EB"/>
    <w:rsid w:val="00881C23"/>
    <w:rsid w:val="008D78BA"/>
    <w:rsid w:val="008E037C"/>
    <w:rsid w:val="008F4E4E"/>
    <w:rsid w:val="00903EB8"/>
    <w:rsid w:val="00905562"/>
    <w:rsid w:val="00911AC5"/>
    <w:rsid w:val="00925D59"/>
    <w:rsid w:val="009317A3"/>
    <w:rsid w:val="009559DD"/>
    <w:rsid w:val="00981F23"/>
    <w:rsid w:val="00995145"/>
    <w:rsid w:val="009A04A7"/>
    <w:rsid w:val="009A5DD6"/>
    <w:rsid w:val="009D34B0"/>
    <w:rsid w:val="009D5BF6"/>
    <w:rsid w:val="009E68F4"/>
    <w:rsid w:val="009E7ACE"/>
    <w:rsid w:val="009F0350"/>
    <w:rsid w:val="00A04EE8"/>
    <w:rsid w:val="00A24F23"/>
    <w:rsid w:val="00A25657"/>
    <w:rsid w:val="00A26667"/>
    <w:rsid w:val="00A616A6"/>
    <w:rsid w:val="00A6246D"/>
    <w:rsid w:val="00A65B4D"/>
    <w:rsid w:val="00AA6C62"/>
    <w:rsid w:val="00AB637F"/>
    <w:rsid w:val="00AD08AB"/>
    <w:rsid w:val="00AD302F"/>
    <w:rsid w:val="00AD730A"/>
    <w:rsid w:val="00B0782B"/>
    <w:rsid w:val="00B321A1"/>
    <w:rsid w:val="00B34F55"/>
    <w:rsid w:val="00B457BA"/>
    <w:rsid w:val="00B476F8"/>
    <w:rsid w:val="00B62537"/>
    <w:rsid w:val="00B769A8"/>
    <w:rsid w:val="00B77A27"/>
    <w:rsid w:val="00B82AA9"/>
    <w:rsid w:val="00BC1E74"/>
    <w:rsid w:val="00BC4133"/>
    <w:rsid w:val="00BD0205"/>
    <w:rsid w:val="00BD72E6"/>
    <w:rsid w:val="00BE1975"/>
    <w:rsid w:val="00BE30FF"/>
    <w:rsid w:val="00BE699E"/>
    <w:rsid w:val="00BF269B"/>
    <w:rsid w:val="00C24C75"/>
    <w:rsid w:val="00C7052D"/>
    <w:rsid w:val="00C82EC4"/>
    <w:rsid w:val="00C83F17"/>
    <w:rsid w:val="00C91DDC"/>
    <w:rsid w:val="00CA0C0F"/>
    <w:rsid w:val="00CA1455"/>
    <w:rsid w:val="00CB6014"/>
    <w:rsid w:val="00CD58E7"/>
    <w:rsid w:val="00CE0218"/>
    <w:rsid w:val="00CE0F76"/>
    <w:rsid w:val="00CE2FFA"/>
    <w:rsid w:val="00D02064"/>
    <w:rsid w:val="00D05343"/>
    <w:rsid w:val="00D06AE2"/>
    <w:rsid w:val="00D11216"/>
    <w:rsid w:val="00D1187A"/>
    <w:rsid w:val="00D4281A"/>
    <w:rsid w:val="00D4658A"/>
    <w:rsid w:val="00D52045"/>
    <w:rsid w:val="00D52442"/>
    <w:rsid w:val="00D57FF2"/>
    <w:rsid w:val="00D70A23"/>
    <w:rsid w:val="00D725C8"/>
    <w:rsid w:val="00D92BA3"/>
    <w:rsid w:val="00D94552"/>
    <w:rsid w:val="00DA0A04"/>
    <w:rsid w:val="00DA2AD4"/>
    <w:rsid w:val="00DB3362"/>
    <w:rsid w:val="00DB4FF9"/>
    <w:rsid w:val="00DC75CC"/>
    <w:rsid w:val="00DF222E"/>
    <w:rsid w:val="00DF4DBA"/>
    <w:rsid w:val="00DF60FE"/>
    <w:rsid w:val="00E04326"/>
    <w:rsid w:val="00E131B1"/>
    <w:rsid w:val="00E25888"/>
    <w:rsid w:val="00E93500"/>
    <w:rsid w:val="00EA3425"/>
    <w:rsid w:val="00EB0E62"/>
    <w:rsid w:val="00EC0BDB"/>
    <w:rsid w:val="00ED4B93"/>
    <w:rsid w:val="00EE75C4"/>
    <w:rsid w:val="00EF40CA"/>
    <w:rsid w:val="00F330B7"/>
    <w:rsid w:val="00F34594"/>
    <w:rsid w:val="00F37007"/>
    <w:rsid w:val="00F4536A"/>
    <w:rsid w:val="00F53B64"/>
    <w:rsid w:val="00F7091C"/>
    <w:rsid w:val="00F80C4B"/>
    <w:rsid w:val="00FA01C4"/>
    <w:rsid w:val="00FC69F6"/>
    <w:rsid w:val="00FE591A"/>
    <w:rsid w:val="00FF4885"/>
    <w:rsid w:val="00FF5197"/>
    <w:rsid w:val="20692BDB"/>
    <w:rsid w:val="252F7DFD"/>
    <w:rsid w:val="45B47913"/>
    <w:rsid w:val="4B8E6EF3"/>
    <w:rsid w:val="4BA3497F"/>
    <w:rsid w:val="50732D7F"/>
    <w:rsid w:val="5C495D34"/>
    <w:rsid w:val="64E0037F"/>
    <w:rsid w:val="7940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p0"/>
    <w:basedOn w:val="1"/>
    <w:qFormat/>
    <w:uiPriority w:val="0"/>
    <w:pPr>
      <w:widowControl/>
    </w:pPr>
    <w:rPr>
      <w:kern w:val="0"/>
      <w:szCs w:val="21"/>
    </w:rPr>
  </w:style>
  <w:style w:type="paragraph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眉 Char"/>
    <w:basedOn w:val="5"/>
    <w:link w:val="3"/>
    <w:uiPriority w:val="0"/>
    <w:rPr>
      <w:rFonts w:eastAsia="宋体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1002</Characters>
  <Lines>8</Lines>
  <Paragraphs>2</Paragraphs>
  <TotalTime>0</TotalTime>
  <ScaleCrop>false</ScaleCrop>
  <LinksUpToDate>false</LinksUpToDate>
  <CharactersWithSpaces>1175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2018-02-28T11:13:00Z</dcterms:created>
  <dc:creator>     潞潞范儿   </dc:creator>
  <cp:lastModifiedBy>丁小懒</cp:lastModifiedBy>
  <dcterms:modified xsi:type="dcterms:W3CDTF">2021-12-29T03:39:51Z</dcterms:modified>
  <cp:revision>186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480140BB4E544ABC89B5E185E755EBA7</vt:lpwstr>
  </property>
</Properties>
</file>