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06" w:rsidRPr="00363966" w:rsidRDefault="00250B4B" w:rsidP="00250B4B">
      <w:pPr>
        <w:pStyle w:val="1"/>
        <w:rPr>
          <w:rFonts w:cs="Times New Roman"/>
        </w:rPr>
      </w:pPr>
      <w:r w:rsidRPr="00363966">
        <w:rPr>
          <w:rFonts w:cs="Times New Roman"/>
          <w:lang w:val="en-US"/>
        </w:rPr>
        <w:tab/>
      </w:r>
      <w:r w:rsidRPr="00363966">
        <w:rPr>
          <w:rFonts w:cs="Times New Roman"/>
        </w:rPr>
        <w:t>ЦЕЛЬ РАБОТЫ</w:t>
      </w:r>
    </w:p>
    <w:p w:rsidR="00250B4B" w:rsidRPr="00363966" w:rsidRDefault="00250B4B" w:rsidP="00250B4B">
      <w:pPr>
        <w:rPr>
          <w:rFonts w:ascii="Times New Roman" w:hAnsi="Times New Roman" w:cs="Times New Roman"/>
          <w:sz w:val="28"/>
          <w:szCs w:val="28"/>
        </w:rPr>
      </w:pPr>
    </w:p>
    <w:p w:rsidR="0061045C" w:rsidRPr="00EA345F" w:rsidRDefault="0061045C" w:rsidP="0061045C">
      <w:pPr>
        <w:pStyle w:val="a4"/>
        <w:spacing w:before="0" w:after="0" w:line="240" w:lineRule="auto"/>
        <w:ind w:firstLine="720"/>
        <w:rPr>
          <w:szCs w:val="28"/>
        </w:rPr>
      </w:pPr>
      <w:r w:rsidRPr="00EA345F">
        <w:rPr>
          <w:szCs w:val="28"/>
        </w:rPr>
        <w:t xml:space="preserve">Исследование характеристик </w:t>
      </w:r>
      <w:r>
        <w:rPr>
          <w:szCs w:val="28"/>
        </w:rPr>
        <w:t>логических элементов</w:t>
      </w:r>
      <w:r w:rsidRPr="00EA345F">
        <w:rPr>
          <w:szCs w:val="28"/>
        </w:rPr>
        <w:t>.</w:t>
      </w:r>
      <w:r w:rsidRPr="00EA345F">
        <w:t xml:space="preserve"> </w:t>
      </w:r>
    </w:p>
    <w:p w:rsidR="001217BD" w:rsidRPr="00363966" w:rsidRDefault="001217BD" w:rsidP="00250B4B">
      <w:pPr>
        <w:pStyle w:val="a3"/>
        <w:rPr>
          <w:rFonts w:cs="Times New Roman"/>
          <w:szCs w:val="28"/>
        </w:rPr>
      </w:pPr>
    </w:p>
    <w:p w:rsidR="001217BD" w:rsidRPr="00363966" w:rsidRDefault="001217BD" w:rsidP="001217BD">
      <w:pPr>
        <w:pStyle w:val="1"/>
        <w:rPr>
          <w:rFonts w:cs="Times New Roman"/>
        </w:rPr>
      </w:pPr>
      <w:r w:rsidRPr="00363966">
        <w:rPr>
          <w:rFonts w:cs="Times New Roman"/>
        </w:rPr>
        <w:t>СХЕМЫ ЭКСПЕРИМЕНТОВ</w:t>
      </w:r>
    </w:p>
    <w:p w:rsidR="001217BD" w:rsidRPr="00363966" w:rsidRDefault="001217BD" w:rsidP="00465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63A9" w:rsidRPr="00EA345F" w:rsidRDefault="001863A9" w:rsidP="00465F37">
      <w:pPr>
        <w:pStyle w:val="a4"/>
        <w:spacing w:before="0" w:after="0" w:line="240" w:lineRule="auto"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519FC05" wp14:editId="70E618FD">
            <wp:extent cx="3334385" cy="18840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A9" w:rsidRPr="001046CA" w:rsidRDefault="001863A9" w:rsidP="00465F37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EA345F">
        <w:t>Рис. 1</w:t>
      </w:r>
      <w:r>
        <w:t>5 –</w:t>
      </w:r>
    </w:p>
    <w:p w:rsidR="001217BD" w:rsidRPr="00363966" w:rsidRDefault="001217BD" w:rsidP="00465F37">
      <w:pPr>
        <w:pStyle w:val="a4"/>
        <w:spacing w:before="0" w:after="0" w:line="240" w:lineRule="auto"/>
        <w:ind w:firstLine="0"/>
        <w:jc w:val="center"/>
        <w:rPr>
          <w:szCs w:val="28"/>
        </w:rPr>
      </w:pPr>
    </w:p>
    <w:p w:rsidR="001863A9" w:rsidRPr="001863A9" w:rsidRDefault="001217BD" w:rsidP="00465F37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363966">
        <w:rPr>
          <w:szCs w:val="28"/>
        </w:rPr>
        <w:t xml:space="preserve">Рисунок 1 – </w:t>
      </w:r>
      <w:r w:rsidR="001863A9">
        <w:t>Схема для построения</w:t>
      </w:r>
      <w:r w:rsidR="001863A9" w:rsidRPr="00EA345F">
        <w:rPr>
          <w:szCs w:val="28"/>
        </w:rPr>
        <w:t xml:space="preserve"> </w:t>
      </w:r>
      <w:r w:rsidR="001863A9">
        <w:rPr>
          <w:szCs w:val="28"/>
        </w:rPr>
        <w:t>амплитудной характеристики  ЛЭ</w:t>
      </w:r>
      <w:r w:rsidR="001863A9" w:rsidRPr="001863A9">
        <w:rPr>
          <w:szCs w:val="28"/>
        </w:rPr>
        <w:t xml:space="preserve"> </w:t>
      </w:r>
      <w:r w:rsidR="005E35E1">
        <w:rPr>
          <w:szCs w:val="28"/>
        </w:rPr>
        <w:t>И</w:t>
      </w:r>
    </w:p>
    <w:p w:rsidR="001217BD" w:rsidRPr="00363966" w:rsidRDefault="001217BD" w:rsidP="00465F37">
      <w:pPr>
        <w:pStyle w:val="a4"/>
        <w:spacing w:before="0" w:after="0" w:line="240" w:lineRule="auto"/>
        <w:ind w:firstLine="0"/>
        <w:jc w:val="center"/>
        <w:rPr>
          <w:szCs w:val="28"/>
        </w:rPr>
      </w:pPr>
    </w:p>
    <w:p w:rsidR="001217BD" w:rsidRPr="00363966" w:rsidRDefault="001217BD" w:rsidP="00465F37">
      <w:pPr>
        <w:pStyle w:val="a4"/>
        <w:spacing w:before="0" w:after="0" w:line="240" w:lineRule="auto"/>
        <w:ind w:firstLine="0"/>
        <w:jc w:val="center"/>
        <w:rPr>
          <w:szCs w:val="28"/>
        </w:rPr>
      </w:pPr>
    </w:p>
    <w:p w:rsidR="001217BD" w:rsidRPr="00C530AD" w:rsidRDefault="001217BD" w:rsidP="00465F37">
      <w:pPr>
        <w:pStyle w:val="a4"/>
        <w:spacing w:before="0" w:after="0" w:line="240" w:lineRule="auto"/>
        <w:ind w:firstLine="0"/>
        <w:jc w:val="center"/>
        <w:rPr>
          <w:szCs w:val="28"/>
        </w:rPr>
      </w:pPr>
    </w:p>
    <w:p w:rsidR="005E35E1" w:rsidRPr="00EA345F" w:rsidRDefault="005E35E1" w:rsidP="00465F37">
      <w:pPr>
        <w:pStyle w:val="a4"/>
        <w:spacing w:before="0" w:after="0" w:line="240" w:lineRule="auto"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7AB393C" wp14:editId="1EBF727D">
            <wp:extent cx="3232785" cy="18288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E1" w:rsidRPr="001046CA" w:rsidRDefault="005E35E1" w:rsidP="00465F37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363966">
        <w:rPr>
          <w:szCs w:val="28"/>
        </w:rPr>
        <w:t xml:space="preserve">Рисунок </w:t>
      </w:r>
      <w:r>
        <w:rPr>
          <w:szCs w:val="28"/>
        </w:rPr>
        <w:t>2</w:t>
      </w:r>
      <w:r>
        <w:t xml:space="preserve"> – Схема для построения</w:t>
      </w:r>
      <w:r w:rsidRPr="00EA345F">
        <w:rPr>
          <w:szCs w:val="28"/>
        </w:rPr>
        <w:t xml:space="preserve"> </w:t>
      </w:r>
      <w:r>
        <w:rPr>
          <w:szCs w:val="28"/>
        </w:rPr>
        <w:t xml:space="preserve">амплитудной характеристики  ЛЭ </w:t>
      </w:r>
      <w:proofErr w:type="gramStart"/>
      <w:r>
        <w:rPr>
          <w:szCs w:val="28"/>
        </w:rPr>
        <w:t>И-НЕ</w:t>
      </w:r>
      <w:proofErr w:type="gramEnd"/>
    </w:p>
    <w:p w:rsidR="001217BD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C530AD" w:rsidRDefault="00C530AD" w:rsidP="001217BD">
      <w:pPr>
        <w:rPr>
          <w:rFonts w:ascii="Times New Roman" w:hAnsi="Times New Roman" w:cs="Times New Roman"/>
          <w:sz w:val="28"/>
          <w:szCs w:val="28"/>
        </w:rPr>
      </w:pPr>
    </w:p>
    <w:p w:rsidR="00C530AD" w:rsidRPr="00363966" w:rsidRDefault="00C530AD" w:rsidP="001217BD">
      <w:pPr>
        <w:rPr>
          <w:rFonts w:ascii="Times New Roman" w:hAnsi="Times New Roman" w:cs="Times New Roman"/>
          <w:sz w:val="28"/>
          <w:szCs w:val="28"/>
        </w:rPr>
      </w:pPr>
    </w:p>
    <w:p w:rsidR="00C530AD" w:rsidRDefault="00C530AD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250B4B" w:rsidRPr="00363966" w:rsidRDefault="00FD76F0" w:rsidP="00A11183">
      <w:pPr>
        <w:pStyle w:val="1"/>
        <w:rPr>
          <w:rFonts w:cs="Times New Roman"/>
        </w:rPr>
      </w:pPr>
      <w:r w:rsidRPr="00363966">
        <w:rPr>
          <w:rFonts w:cs="Times New Roman"/>
        </w:rPr>
        <w:lastRenderedPageBreak/>
        <w:t>ГРАФИКИ РЕЗУЛЬТАТОВ</w:t>
      </w:r>
    </w:p>
    <w:p w:rsidR="00A11183" w:rsidRPr="00363966" w:rsidRDefault="00A11183" w:rsidP="00A11183">
      <w:pPr>
        <w:rPr>
          <w:rFonts w:ascii="Times New Roman" w:hAnsi="Times New Roman" w:cs="Times New Roman"/>
          <w:sz w:val="28"/>
          <w:szCs w:val="28"/>
        </w:rPr>
      </w:pPr>
    </w:p>
    <w:p w:rsidR="00A11183" w:rsidRPr="00363966" w:rsidRDefault="00113BD0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A1947" wp14:editId="7ABDA589">
            <wp:extent cx="5940425" cy="2457346"/>
            <wp:effectExtent l="0" t="0" r="22225" b="196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11183" w:rsidRPr="00363966" w:rsidRDefault="001A197D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11183" w:rsidRPr="00363966">
        <w:rPr>
          <w:rFonts w:ascii="Times New Roman" w:hAnsi="Times New Roman" w:cs="Times New Roman"/>
          <w:sz w:val="28"/>
          <w:szCs w:val="28"/>
        </w:rPr>
        <w:t xml:space="preserve"> – Амплитудные характеристики </w:t>
      </w:r>
      <w:r w:rsidR="00CC1AEA">
        <w:rPr>
          <w:rFonts w:ascii="Times New Roman" w:hAnsi="Times New Roman" w:cs="Times New Roman"/>
          <w:sz w:val="28"/>
          <w:szCs w:val="28"/>
        </w:rPr>
        <w:t>логического элемента</w:t>
      </w:r>
      <w:proofErr w:type="gramStart"/>
      <w:r w:rsidR="00CC1AEA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</w:p>
    <w:p w:rsidR="00003CC4" w:rsidRPr="00363966" w:rsidRDefault="00003CC4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363966" w:rsidRDefault="00113BD0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263B6D" wp14:editId="57EAAFD1">
            <wp:extent cx="5940425" cy="2457959"/>
            <wp:effectExtent l="0" t="0" r="22225" b="1905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03CC4" w:rsidRPr="00363966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A197D">
        <w:rPr>
          <w:rFonts w:ascii="Times New Roman" w:hAnsi="Times New Roman" w:cs="Times New Roman"/>
          <w:sz w:val="28"/>
          <w:szCs w:val="28"/>
        </w:rPr>
        <w:t xml:space="preserve">4 </w:t>
      </w:r>
      <w:r w:rsidRPr="00363966">
        <w:rPr>
          <w:rFonts w:ascii="Times New Roman" w:hAnsi="Times New Roman" w:cs="Times New Roman"/>
          <w:sz w:val="28"/>
          <w:szCs w:val="28"/>
        </w:rPr>
        <w:t xml:space="preserve">– Амплитудные характеристики </w:t>
      </w:r>
      <w:r w:rsidR="00420B4B">
        <w:rPr>
          <w:rFonts w:ascii="Times New Roman" w:hAnsi="Times New Roman" w:cs="Times New Roman"/>
          <w:sz w:val="28"/>
          <w:szCs w:val="28"/>
        </w:rPr>
        <w:t>логичес</w:t>
      </w:r>
      <w:r w:rsidR="00B87A9E">
        <w:rPr>
          <w:rFonts w:ascii="Times New Roman" w:hAnsi="Times New Roman" w:cs="Times New Roman"/>
          <w:sz w:val="28"/>
          <w:szCs w:val="28"/>
        </w:rPr>
        <w:t>к</w:t>
      </w:r>
      <w:r w:rsidR="00420B4B">
        <w:rPr>
          <w:rFonts w:ascii="Times New Roman" w:hAnsi="Times New Roman" w:cs="Times New Roman"/>
          <w:sz w:val="28"/>
          <w:szCs w:val="28"/>
        </w:rPr>
        <w:t>ог</w:t>
      </w:r>
      <w:r w:rsidR="00CC1AEA">
        <w:rPr>
          <w:rFonts w:ascii="Times New Roman" w:hAnsi="Times New Roman" w:cs="Times New Roman"/>
          <w:sz w:val="28"/>
          <w:szCs w:val="28"/>
        </w:rPr>
        <w:t xml:space="preserve">о элемента </w:t>
      </w:r>
      <w:proofErr w:type="gramStart"/>
      <w:r w:rsidR="00CC1AEA">
        <w:rPr>
          <w:rFonts w:ascii="Times New Roman" w:hAnsi="Times New Roman" w:cs="Times New Roman"/>
          <w:sz w:val="28"/>
          <w:szCs w:val="28"/>
        </w:rPr>
        <w:t>И-НЕ</w:t>
      </w:r>
      <w:proofErr w:type="gramEnd"/>
    </w:p>
    <w:p w:rsidR="00D05D73" w:rsidRPr="00363966" w:rsidRDefault="00D05D73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17618" w:rsidRPr="00363966" w:rsidRDefault="00D1761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4C48" w:rsidRPr="00363966" w:rsidRDefault="00884C4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25FBC" w:rsidRPr="00363966" w:rsidRDefault="00825FBC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63966">
        <w:rPr>
          <w:rFonts w:ascii="Times New Roman" w:hAnsi="Times New Roman" w:cs="Times New Roman"/>
          <w:sz w:val="28"/>
          <w:szCs w:val="28"/>
        </w:rPr>
        <w:br w:type="page"/>
      </w:r>
    </w:p>
    <w:p w:rsidR="00884C48" w:rsidRPr="00363966" w:rsidRDefault="00884C48" w:rsidP="00884C48">
      <w:pPr>
        <w:pStyle w:val="1"/>
        <w:rPr>
          <w:rFonts w:cs="Times New Roman"/>
        </w:rPr>
      </w:pPr>
      <w:r w:rsidRPr="00363966">
        <w:rPr>
          <w:rFonts w:cs="Times New Roman"/>
        </w:rPr>
        <w:lastRenderedPageBreak/>
        <w:t>РАСЧЕТЫ</w:t>
      </w:r>
    </w:p>
    <w:p w:rsidR="00E16B8C" w:rsidRPr="00363966" w:rsidRDefault="003136E4" w:rsidP="003136E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4B16F6">
        <w:rPr>
          <w:rFonts w:ascii="Times New Roman" w:hAnsi="Times New Roman" w:cs="Times New Roman"/>
          <w:sz w:val="28"/>
          <w:szCs w:val="28"/>
        </w:rPr>
        <w:t xml:space="preserve"> – Таблица истинности логического элемента </w:t>
      </w:r>
      <w:proofErr w:type="gramStart"/>
      <w:r w:rsidR="004B16F6">
        <w:rPr>
          <w:rFonts w:ascii="Times New Roman" w:hAnsi="Times New Roman" w:cs="Times New Roman"/>
          <w:sz w:val="28"/>
          <w:szCs w:val="28"/>
        </w:rPr>
        <w:t>И-НЕ</w:t>
      </w:r>
      <w:proofErr w:type="gramEnd"/>
    </w:p>
    <w:tbl>
      <w:tblPr>
        <w:tblW w:w="3120" w:type="dxa"/>
        <w:tblInd w:w="93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</w:tblGrid>
      <w:tr w:rsidR="004E319D" w:rsidRPr="004E319D" w:rsidTr="004E319D">
        <w:trPr>
          <w:trHeight w:val="7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(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(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0/1</w:t>
            </w:r>
          </w:p>
        </w:tc>
      </w:tr>
      <w:tr w:rsidR="004E319D" w:rsidRPr="004E319D" w:rsidTr="004E319D">
        <w:trPr>
          <w:trHeight w:val="367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E319D" w:rsidRPr="004E319D" w:rsidTr="004E319D">
        <w:trPr>
          <w:trHeight w:val="367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E319D" w:rsidRPr="004E319D" w:rsidTr="004E319D">
        <w:trPr>
          <w:trHeight w:val="367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E319D" w:rsidRPr="004E319D" w:rsidTr="004E319D">
        <w:trPr>
          <w:trHeight w:val="367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B0772E" w:rsidRDefault="00B0772E" w:rsidP="003136E4">
      <w:pPr>
        <w:pStyle w:val="a3"/>
        <w:rPr>
          <w:rFonts w:eastAsiaTheme="minorEastAsia" w:cs="Times New Roman"/>
          <w:szCs w:val="28"/>
        </w:rPr>
      </w:pPr>
    </w:p>
    <w:p w:rsidR="00A066BC" w:rsidRDefault="003136E4" w:rsidP="003136E4">
      <w:pPr>
        <w:pStyle w:val="a3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данных таблицы 1</w:t>
      </w:r>
      <w:r w:rsidR="00657B68">
        <w:rPr>
          <w:rFonts w:eastAsiaTheme="minorEastAsia" w:cs="Times New Roman"/>
          <w:szCs w:val="28"/>
        </w:rPr>
        <w:t xml:space="preserve"> видно, что выходной сигнал</w:t>
      </w:r>
      <w:r w:rsidR="00783ABC">
        <w:rPr>
          <w:rFonts w:eastAsiaTheme="minorEastAsia" w:cs="Times New Roman"/>
          <w:szCs w:val="28"/>
        </w:rPr>
        <w:t xml:space="preserve"> логического элемента И-НЕ</w:t>
      </w:r>
      <w:r w:rsidR="00657B68">
        <w:rPr>
          <w:rFonts w:eastAsiaTheme="minorEastAsia" w:cs="Times New Roman"/>
          <w:szCs w:val="28"/>
        </w:rPr>
        <w:t xml:space="preserve"> равен логической 1</w:t>
      </w:r>
      <w:r w:rsidR="00BF5A52">
        <w:rPr>
          <w:rFonts w:eastAsiaTheme="minorEastAsia" w:cs="Times New Roman"/>
          <w:szCs w:val="28"/>
        </w:rPr>
        <w:t>,</w:t>
      </w:r>
      <w:r w:rsidR="00657B68">
        <w:rPr>
          <w:rFonts w:eastAsiaTheme="minorEastAsia" w:cs="Times New Roman"/>
          <w:szCs w:val="28"/>
        </w:rPr>
        <w:t xml:space="preserve"> во всех случаях, когда на вход логического элемента поступает </w:t>
      </w:r>
      <w:r w:rsidR="005A6775">
        <w:rPr>
          <w:rFonts w:eastAsiaTheme="minorEastAsia" w:cs="Times New Roman"/>
          <w:szCs w:val="28"/>
        </w:rPr>
        <w:t>сигнал</w:t>
      </w:r>
      <w:r w:rsidR="007857DA">
        <w:rPr>
          <w:rFonts w:eastAsiaTheme="minorEastAsia" w:cs="Times New Roman"/>
          <w:szCs w:val="28"/>
        </w:rPr>
        <w:t xml:space="preserve"> равный </w:t>
      </w:r>
      <w:proofErr w:type="gramStart"/>
      <w:r w:rsidR="007857DA">
        <w:rPr>
          <w:rFonts w:eastAsiaTheme="minorEastAsia" w:cs="Times New Roman"/>
          <w:szCs w:val="28"/>
        </w:rPr>
        <w:t>логическому</w:t>
      </w:r>
      <w:proofErr w:type="gramEnd"/>
      <w:r w:rsidR="005A6775">
        <w:rPr>
          <w:rFonts w:eastAsiaTheme="minorEastAsia" w:cs="Times New Roman"/>
          <w:szCs w:val="28"/>
        </w:rPr>
        <w:t xml:space="preserve"> 0, и принимает значение логической 1, если на оба входа подается сигнал </w:t>
      </w:r>
      <w:r w:rsidR="0029136F">
        <w:rPr>
          <w:rFonts w:eastAsiaTheme="minorEastAsia" w:cs="Times New Roman"/>
          <w:szCs w:val="28"/>
        </w:rPr>
        <w:t xml:space="preserve">равный </w:t>
      </w:r>
      <w:r w:rsidR="005A6775">
        <w:rPr>
          <w:rFonts w:eastAsiaTheme="minorEastAsia" w:cs="Times New Roman"/>
          <w:szCs w:val="28"/>
        </w:rPr>
        <w:t>логической 1.</w:t>
      </w:r>
    </w:p>
    <w:p w:rsidR="004B16F6" w:rsidRPr="00363966" w:rsidRDefault="003136E4" w:rsidP="003136E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B16F6">
        <w:rPr>
          <w:rFonts w:ascii="Times New Roman" w:hAnsi="Times New Roman" w:cs="Times New Roman"/>
          <w:sz w:val="28"/>
          <w:szCs w:val="28"/>
        </w:rPr>
        <w:t>2 – Таблица истинности логического элемента</w:t>
      </w:r>
      <w:proofErr w:type="gramStart"/>
      <w:r w:rsidR="004B16F6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</w:p>
    <w:tbl>
      <w:tblPr>
        <w:tblW w:w="3120" w:type="dxa"/>
        <w:tblInd w:w="93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</w:tblGrid>
      <w:tr w:rsidR="004E319D" w:rsidRPr="004E319D" w:rsidTr="004E319D">
        <w:trPr>
          <w:trHeight w:val="72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(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1)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(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 0/1</w:t>
            </w:r>
          </w:p>
        </w:tc>
      </w:tr>
      <w:tr w:rsidR="004E319D" w:rsidRPr="004E319D" w:rsidTr="004E319D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E319D" w:rsidRPr="004E319D" w:rsidTr="004E319D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E319D" w:rsidRPr="004E319D" w:rsidTr="004E319D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E319D" w:rsidRPr="004E319D" w:rsidTr="004E319D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19D" w:rsidRPr="004E319D" w:rsidRDefault="004E319D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1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B0772E" w:rsidRDefault="00B0772E" w:rsidP="003136E4">
      <w:pPr>
        <w:pStyle w:val="a3"/>
        <w:tabs>
          <w:tab w:val="left" w:pos="3684"/>
        </w:tabs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B0772E" w:rsidRDefault="003136E4" w:rsidP="003136E4">
      <w:pPr>
        <w:pStyle w:val="a3"/>
        <w:tabs>
          <w:tab w:val="left" w:pos="3684"/>
        </w:tabs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Из данных таблицы </w:t>
      </w:r>
      <w:r w:rsidR="00B0772E">
        <w:rPr>
          <w:rFonts w:eastAsiaTheme="minorEastAsia" w:cs="Times New Roman"/>
          <w:szCs w:val="28"/>
        </w:rPr>
        <w:t xml:space="preserve">2 видно, что </w:t>
      </w:r>
      <w:r w:rsidR="0086120E">
        <w:rPr>
          <w:rFonts w:eastAsiaTheme="minorEastAsia" w:cs="Times New Roman"/>
          <w:szCs w:val="28"/>
        </w:rPr>
        <w:t>для логического элемента</w:t>
      </w:r>
      <w:proofErr w:type="gramStart"/>
      <w:r w:rsidR="0086120E">
        <w:rPr>
          <w:rFonts w:eastAsiaTheme="minorEastAsia" w:cs="Times New Roman"/>
          <w:szCs w:val="28"/>
        </w:rPr>
        <w:t xml:space="preserve"> И</w:t>
      </w:r>
      <w:proofErr w:type="gramEnd"/>
      <w:r w:rsidR="0086120E">
        <w:rPr>
          <w:rFonts w:eastAsiaTheme="minorEastAsia" w:cs="Times New Roman"/>
          <w:szCs w:val="28"/>
        </w:rPr>
        <w:t xml:space="preserve">, </w:t>
      </w:r>
      <w:r w:rsidR="00B0772E">
        <w:rPr>
          <w:rFonts w:eastAsiaTheme="minorEastAsia" w:cs="Times New Roman"/>
          <w:szCs w:val="28"/>
        </w:rPr>
        <w:t xml:space="preserve">выходной сигнал равен логическому 0, </w:t>
      </w:r>
      <w:r w:rsidR="00EB7432">
        <w:rPr>
          <w:rFonts w:eastAsiaTheme="minorEastAsia" w:cs="Times New Roman"/>
          <w:szCs w:val="28"/>
        </w:rPr>
        <w:t>если хотя бы на один вход</w:t>
      </w:r>
      <w:r w:rsidR="00B0772E">
        <w:rPr>
          <w:rFonts w:eastAsiaTheme="minorEastAsia" w:cs="Times New Roman"/>
          <w:szCs w:val="28"/>
        </w:rPr>
        <w:t xml:space="preserve"> логического элемента поступает сигнал логического 0</w:t>
      </w:r>
      <w:r w:rsidR="009B3A38">
        <w:rPr>
          <w:rFonts w:eastAsiaTheme="minorEastAsia" w:cs="Times New Roman"/>
          <w:szCs w:val="28"/>
        </w:rPr>
        <w:t>.Выходной сигнал</w:t>
      </w:r>
      <w:r w:rsidR="00783ABC">
        <w:rPr>
          <w:rFonts w:eastAsiaTheme="minorEastAsia" w:cs="Times New Roman"/>
          <w:szCs w:val="28"/>
        </w:rPr>
        <w:t xml:space="preserve"> равен логической 1, если на все входы подается сигнал логической 1.</w:t>
      </w:r>
    </w:p>
    <w:p w:rsidR="004B16F6" w:rsidRPr="00363966" w:rsidRDefault="003136E4" w:rsidP="003136E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4B16F6">
        <w:rPr>
          <w:rFonts w:ascii="Times New Roman" w:hAnsi="Times New Roman" w:cs="Times New Roman"/>
          <w:sz w:val="28"/>
          <w:szCs w:val="28"/>
        </w:rPr>
        <w:t xml:space="preserve"> – Таблица истинности логического элемента ИЛИ-НЕ</w:t>
      </w:r>
    </w:p>
    <w:tbl>
      <w:tblPr>
        <w:tblW w:w="3120" w:type="dxa"/>
        <w:tblInd w:w="93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</w:tblGrid>
      <w:tr w:rsidR="004B16F6" w:rsidRPr="004B16F6" w:rsidTr="004B16F6">
        <w:trPr>
          <w:trHeight w:val="72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X1 (SA1)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X2 (SA2)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 0/1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4B16F6" w:rsidRDefault="004B16F6" w:rsidP="003136E4">
      <w:pPr>
        <w:pStyle w:val="a3"/>
        <w:rPr>
          <w:rFonts w:eastAsiaTheme="minorEastAsia" w:cs="Times New Roman"/>
          <w:szCs w:val="28"/>
        </w:rPr>
      </w:pPr>
    </w:p>
    <w:p w:rsidR="00DD6590" w:rsidRDefault="003136E4" w:rsidP="003136E4">
      <w:pPr>
        <w:pStyle w:val="a3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данных таблицы 3</w:t>
      </w:r>
      <w:r w:rsidR="00DD6590">
        <w:rPr>
          <w:rFonts w:eastAsiaTheme="minorEastAsia" w:cs="Times New Roman"/>
          <w:szCs w:val="28"/>
        </w:rPr>
        <w:t xml:space="preserve"> видно, что при подаче</w:t>
      </w:r>
      <w:r w:rsidR="0069615D">
        <w:rPr>
          <w:rFonts w:eastAsiaTheme="minorEastAsia" w:cs="Times New Roman"/>
          <w:szCs w:val="28"/>
        </w:rPr>
        <w:t xml:space="preserve"> сигнала равного</w:t>
      </w:r>
      <w:r w:rsidR="00DD6590">
        <w:rPr>
          <w:rFonts w:eastAsiaTheme="minorEastAsia" w:cs="Times New Roman"/>
          <w:szCs w:val="28"/>
        </w:rPr>
        <w:t xml:space="preserve"> логической 1, хотя бы на один из входов логического элемента ИЛИ, выходной сигнал принимает значение логического 0. Если на оба входа подается сигнал логического 0.</w:t>
      </w:r>
      <w:r w:rsidR="00DD6590" w:rsidRPr="00E006F7">
        <w:rPr>
          <w:rFonts w:eastAsiaTheme="minorEastAsia" w:cs="Times New Roman"/>
          <w:szCs w:val="28"/>
        </w:rPr>
        <w:t xml:space="preserve"> </w:t>
      </w:r>
      <w:r w:rsidR="00DD6590">
        <w:rPr>
          <w:rFonts w:eastAsiaTheme="minorEastAsia" w:cs="Times New Roman"/>
          <w:szCs w:val="28"/>
        </w:rPr>
        <w:t xml:space="preserve">выходной сигнал принимает значение </w:t>
      </w:r>
      <w:proofErr w:type="gramStart"/>
      <w:r w:rsidR="00DD6590">
        <w:rPr>
          <w:rFonts w:eastAsiaTheme="minorEastAsia" w:cs="Times New Roman"/>
          <w:szCs w:val="28"/>
        </w:rPr>
        <w:t>логической</w:t>
      </w:r>
      <w:proofErr w:type="gramEnd"/>
      <w:r w:rsidR="00DD6590">
        <w:rPr>
          <w:rFonts w:eastAsiaTheme="minorEastAsia" w:cs="Times New Roman"/>
          <w:szCs w:val="28"/>
        </w:rPr>
        <w:t xml:space="preserve"> 1.</w:t>
      </w:r>
    </w:p>
    <w:p w:rsidR="00DD6590" w:rsidRDefault="00DD6590" w:rsidP="003136E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B16F6" w:rsidRPr="00363966" w:rsidRDefault="003136E4" w:rsidP="003136E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4B16F6">
        <w:rPr>
          <w:rFonts w:ascii="Times New Roman" w:hAnsi="Times New Roman" w:cs="Times New Roman"/>
          <w:sz w:val="28"/>
          <w:szCs w:val="28"/>
        </w:rPr>
        <w:t xml:space="preserve"> – Таблица истинности логического элемента ИЛИ</w:t>
      </w:r>
    </w:p>
    <w:tbl>
      <w:tblPr>
        <w:tblW w:w="3120" w:type="dxa"/>
        <w:tblInd w:w="93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</w:tblGrid>
      <w:tr w:rsidR="004B16F6" w:rsidRPr="004B16F6" w:rsidTr="004B16F6">
        <w:trPr>
          <w:trHeight w:val="72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(</w:t>
            </w: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</w:t>
            </w: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1)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(</w:t>
            </w: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</w:t>
            </w: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2)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0/1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36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4B16F6" w:rsidRDefault="004B16F6" w:rsidP="003136E4">
      <w:pPr>
        <w:pStyle w:val="a3"/>
        <w:rPr>
          <w:rFonts w:eastAsiaTheme="minorEastAsia" w:cs="Times New Roman"/>
          <w:szCs w:val="28"/>
        </w:rPr>
      </w:pPr>
    </w:p>
    <w:p w:rsidR="006C0A24" w:rsidRDefault="006C0A24" w:rsidP="003136E4">
      <w:pPr>
        <w:pStyle w:val="a3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Из данных таблицы </w:t>
      </w:r>
      <w:r w:rsidR="003136E4"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</w:rPr>
        <w:t xml:space="preserve"> видно, что при подаче </w:t>
      </w:r>
      <w:r w:rsidR="0069615D">
        <w:rPr>
          <w:rFonts w:eastAsiaTheme="minorEastAsia" w:cs="Times New Roman"/>
          <w:szCs w:val="28"/>
        </w:rPr>
        <w:t xml:space="preserve">сигнала равного </w:t>
      </w:r>
      <w:r>
        <w:rPr>
          <w:rFonts w:eastAsiaTheme="minorEastAsia" w:cs="Times New Roman"/>
          <w:szCs w:val="28"/>
        </w:rPr>
        <w:t>логической 1, хотя бы на один из входов логического элемента ИЛИ, выходной сигнал принимает значение логической 1.</w:t>
      </w:r>
      <w:r w:rsidR="009279EF">
        <w:rPr>
          <w:rFonts w:eastAsiaTheme="minorEastAsia" w:cs="Times New Roman"/>
          <w:szCs w:val="28"/>
        </w:rPr>
        <w:t xml:space="preserve"> </w:t>
      </w:r>
      <w:r w:rsidR="00E006F7">
        <w:rPr>
          <w:rFonts w:eastAsiaTheme="minorEastAsia" w:cs="Times New Roman"/>
          <w:szCs w:val="28"/>
        </w:rPr>
        <w:t>Е</w:t>
      </w:r>
      <w:r w:rsidR="009279EF">
        <w:rPr>
          <w:rFonts w:eastAsiaTheme="minorEastAsia" w:cs="Times New Roman"/>
          <w:szCs w:val="28"/>
        </w:rPr>
        <w:t xml:space="preserve">сли на оба входа подается сигнал </w:t>
      </w:r>
      <w:r w:rsidR="002C0FA1">
        <w:rPr>
          <w:rFonts w:eastAsiaTheme="minorEastAsia" w:cs="Times New Roman"/>
          <w:szCs w:val="28"/>
        </w:rPr>
        <w:t xml:space="preserve">равный </w:t>
      </w:r>
      <w:proofErr w:type="gramStart"/>
      <w:r w:rsidR="002C0FA1">
        <w:rPr>
          <w:rFonts w:eastAsiaTheme="minorEastAsia" w:cs="Times New Roman"/>
          <w:szCs w:val="28"/>
        </w:rPr>
        <w:t>логическому</w:t>
      </w:r>
      <w:proofErr w:type="gramEnd"/>
      <w:r w:rsidR="009279EF">
        <w:rPr>
          <w:rFonts w:eastAsiaTheme="minorEastAsia" w:cs="Times New Roman"/>
          <w:szCs w:val="28"/>
        </w:rPr>
        <w:t xml:space="preserve"> 0.</w:t>
      </w:r>
      <w:r w:rsidR="00E006F7" w:rsidRPr="00E006F7">
        <w:rPr>
          <w:rFonts w:eastAsiaTheme="minorEastAsia" w:cs="Times New Roman"/>
          <w:szCs w:val="28"/>
        </w:rPr>
        <w:t xml:space="preserve"> </w:t>
      </w:r>
      <w:r w:rsidR="00E006F7">
        <w:rPr>
          <w:rFonts w:eastAsiaTheme="minorEastAsia" w:cs="Times New Roman"/>
          <w:szCs w:val="28"/>
        </w:rPr>
        <w:t xml:space="preserve">выходной сигнал принимает значение </w:t>
      </w:r>
      <w:r w:rsidR="002C0FA1">
        <w:rPr>
          <w:rFonts w:eastAsiaTheme="minorEastAsia" w:cs="Times New Roman"/>
          <w:szCs w:val="28"/>
        </w:rPr>
        <w:t xml:space="preserve">равное </w:t>
      </w:r>
      <w:r w:rsidR="002D4830">
        <w:rPr>
          <w:rFonts w:eastAsiaTheme="minorEastAsia" w:cs="Times New Roman"/>
          <w:szCs w:val="28"/>
        </w:rPr>
        <w:t>логическому</w:t>
      </w:r>
      <w:r w:rsidR="00E006F7">
        <w:rPr>
          <w:rFonts w:eastAsiaTheme="minorEastAsia" w:cs="Times New Roman"/>
          <w:szCs w:val="28"/>
        </w:rPr>
        <w:t xml:space="preserve"> 0.</w:t>
      </w:r>
    </w:p>
    <w:p w:rsidR="004B16F6" w:rsidRDefault="003136E4" w:rsidP="003136E4">
      <w:pPr>
        <w:spacing w:line="240" w:lineRule="auto"/>
        <w:contextualSpacing/>
        <w:jc w:val="both"/>
        <w:rPr>
          <w:rFonts w:eastAsiaTheme="minorEastAsia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</w:t>
      </w:r>
      <w:r w:rsidR="004B16F6">
        <w:rPr>
          <w:rFonts w:ascii="Times New Roman" w:hAnsi="Times New Roman" w:cs="Times New Roman"/>
          <w:sz w:val="28"/>
          <w:szCs w:val="28"/>
        </w:rPr>
        <w:t>– Таблица истинности логического элемента ИСКЛЮЧАЕЩЕЕ ИЛИ-НЕ</w:t>
      </w:r>
    </w:p>
    <w:tbl>
      <w:tblPr>
        <w:tblW w:w="3120" w:type="dxa"/>
        <w:tblInd w:w="93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</w:tblGrid>
      <w:tr w:rsidR="004B16F6" w:rsidRPr="004B16F6" w:rsidTr="004B16F6">
        <w:trPr>
          <w:trHeight w:val="72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X1 (SA1)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X2 (SA2)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 0/1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E439D0" w:rsidRDefault="00E439D0" w:rsidP="003136E4">
      <w:pPr>
        <w:pStyle w:val="a3"/>
        <w:rPr>
          <w:rFonts w:eastAsiaTheme="minorEastAsia" w:cs="Times New Roman"/>
          <w:szCs w:val="28"/>
        </w:rPr>
      </w:pPr>
    </w:p>
    <w:p w:rsidR="00E439D0" w:rsidRDefault="003136E4" w:rsidP="003136E4">
      <w:pPr>
        <w:pStyle w:val="a3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данных таблицы 5</w:t>
      </w:r>
      <w:r w:rsidR="00E439D0">
        <w:rPr>
          <w:rFonts w:eastAsiaTheme="minorEastAsia" w:cs="Times New Roman"/>
          <w:szCs w:val="28"/>
        </w:rPr>
        <w:t xml:space="preserve"> видно, что выходной сигнал принимает значение логической 1, если на оба входа подается одинаковый сигнал, равный </w:t>
      </w:r>
      <w:r w:rsidR="00E439D0">
        <w:rPr>
          <w:rFonts w:eastAsiaTheme="minorEastAsia" w:cs="Times New Roman"/>
          <w:szCs w:val="28"/>
        </w:rPr>
        <w:lastRenderedPageBreak/>
        <w:t xml:space="preserve">логической 1 или </w:t>
      </w:r>
      <w:proofErr w:type="gramStart"/>
      <w:r w:rsidR="00E439D0">
        <w:rPr>
          <w:rFonts w:eastAsiaTheme="minorEastAsia" w:cs="Times New Roman"/>
          <w:szCs w:val="28"/>
        </w:rPr>
        <w:t>логическому</w:t>
      </w:r>
      <w:proofErr w:type="gramEnd"/>
      <w:r w:rsidR="00E439D0">
        <w:rPr>
          <w:rFonts w:eastAsiaTheme="minorEastAsia" w:cs="Times New Roman"/>
          <w:szCs w:val="28"/>
        </w:rPr>
        <w:t xml:space="preserve"> 0.</w:t>
      </w:r>
      <w:r w:rsidR="00E439D0" w:rsidRPr="00E006F7">
        <w:rPr>
          <w:rFonts w:eastAsiaTheme="minorEastAsia" w:cs="Times New Roman"/>
          <w:szCs w:val="28"/>
        </w:rPr>
        <w:t xml:space="preserve"> </w:t>
      </w:r>
      <w:r w:rsidR="00E439D0">
        <w:rPr>
          <w:rFonts w:eastAsiaTheme="minorEastAsia" w:cs="Times New Roman"/>
          <w:szCs w:val="28"/>
        </w:rPr>
        <w:t>При подаче</w:t>
      </w:r>
      <w:r w:rsidR="002C0FA1">
        <w:rPr>
          <w:rFonts w:eastAsiaTheme="minorEastAsia" w:cs="Times New Roman"/>
          <w:szCs w:val="28"/>
        </w:rPr>
        <w:t xml:space="preserve"> </w:t>
      </w:r>
      <w:r w:rsidR="000270C4">
        <w:rPr>
          <w:rFonts w:eastAsiaTheme="minorEastAsia" w:cs="Times New Roman"/>
          <w:szCs w:val="28"/>
        </w:rPr>
        <w:t xml:space="preserve">на входы инверсных сигналов, напряжение на выходе логического элемента равно </w:t>
      </w:r>
      <w:proofErr w:type="gramStart"/>
      <w:r w:rsidR="000270C4">
        <w:rPr>
          <w:rFonts w:eastAsiaTheme="minorEastAsia" w:cs="Times New Roman"/>
          <w:szCs w:val="28"/>
        </w:rPr>
        <w:t>логическому</w:t>
      </w:r>
      <w:proofErr w:type="gramEnd"/>
      <w:r w:rsidR="000270C4">
        <w:rPr>
          <w:rFonts w:eastAsiaTheme="minorEastAsia" w:cs="Times New Roman"/>
          <w:szCs w:val="28"/>
        </w:rPr>
        <w:t xml:space="preserve"> 0.</w:t>
      </w:r>
    </w:p>
    <w:p w:rsidR="004B16F6" w:rsidRDefault="004B16F6" w:rsidP="003136E4">
      <w:pPr>
        <w:pStyle w:val="a3"/>
        <w:rPr>
          <w:rFonts w:eastAsiaTheme="minorEastAsia" w:cs="Times New Roman"/>
          <w:szCs w:val="28"/>
        </w:rPr>
      </w:pPr>
    </w:p>
    <w:p w:rsidR="004B16F6" w:rsidRPr="00363966" w:rsidRDefault="003136E4" w:rsidP="003136E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4B16F6">
        <w:rPr>
          <w:rFonts w:ascii="Times New Roman" w:hAnsi="Times New Roman" w:cs="Times New Roman"/>
          <w:sz w:val="28"/>
          <w:szCs w:val="28"/>
        </w:rPr>
        <w:t xml:space="preserve"> – Таблица истинности логического элемента НЕ</w:t>
      </w:r>
    </w:p>
    <w:tbl>
      <w:tblPr>
        <w:tblW w:w="2080" w:type="dxa"/>
        <w:tblInd w:w="93" w:type="dxa"/>
        <w:tblLook w:val="04A0" w:firstRow="1" w:lastRow="0" w:firstColumn="1" w:lastColumn="0" w:noHBand="0" w:noVBand="1"/>
      </w:tblPr>
      <w:tblGrid>
        <w:gridCol w:w="1040"/>
        <w:gridCol w:w="1040"/>
      </w:tblGrid>
      <w:tr w:rsidR="004B16F6" w:rsidRPr="004B16F6" w:rsidTr="004B16F6">
        <w:trPr>
          <w:trHeight w:val="72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X1 (SA1)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 0/1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B16F6" w:rsidRPr="004B16F6" w:rsidTr="004B16F6">
        <w:trPr>
          <w:trHeight w:val="367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16F6" w:rsidRPr="004B16F6" w:rsidRDefault="004B16F6" w:rsidP="0031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16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4C70A7" w:rsidRDefault="004C70A7" w:rsidP="003136E4">
      <w:pPr>
        <w:pStyle w:val="a3"/>
        <w:rPr>
          <w:rFonts w:eastAsiaTheme="minorEastAsia" w:cs="Times New Roman"/>
          <w:szCs w:val="28"/>
        </w:rPr>
      </w:pPr>
    </w:p>
    <w:p w:rsidR="004B16F6" w:rsidRDefault="003136E4" w:rsidP="003136E4">
      <w:pPr>
        <w:pStyle w:val="a3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данных таблицы 6</w:t>
      </w:r>
      <w:r w:rsidR="004C70A7">
        <w:rPr>
          <w:rFonts w:eastAsiaTheme="minorEastAsia" w:cs="Times New Roman"/>
          <w:szCs w:val="28"/>
        </w:rPr>
        <w:t xml:space="preserve"> видно, что выходной сигнал </w:t>
      </w:r>
      <w:r w:rsidR="00B97F31">
        <w:rPr>
          <w:rFonts w:eastAsiaTheme="minorEastAsia" w:cs="Times New Roman"/>
          <w:szCs w:val="28"/>
        </w:rPr>
        <w:t xml:space="preserve">противоположен </w:t>
      </w:r>
      <w:proofErr w:type="gramStart"/>
      <w:r w:rsidR="00B97F31">
        <w:rPr>
          <w:rFonts w:eastAsiaTheme="minorEastAsia" w:cs="Times New Roman"/>
          <w:szCs w:val="28"/>
        </w:rPr>
        <w:t>сигналу</w:t>
      </w:r>
      <w:proofErr w:type="gramEnd"/>
      <w:r w:rsidR="00B97F31">
        <w:rPr>
          <w:rFonts w:eastAsiaTheme="minorEastAsia" w:cs="Times New Roman"/>
          <w:szCs w:val="28"/>
        </w:rPr>
        <w:t xml:space="preserve"> поданному на вход, т.е. при подаче высокого уровня сигнала на вход, на выходе получается низкий </w:t>
      </w:r>
      <w:r w:rsidR="001468CD">
        <w:rPr>
          <w:rFonts w:eastAsiaTheme="minorEastAsia" w:cs="Times New Roman"/>
          <w:szCs w:val="28"/>
        </w:rPr>
        <w:t xml:space="preserve">уровень </w:t>
      </w:r>
      <w:r w:rsidR="00B97F31">
        <w:rPr>
          <w:rFonts w:eastAsiaTheme="minorEastAsia" w:cs="Times New Roman"/>
          <w:szCs w:val="28"/>
        </w:rPr>
        <w:t>и наоборот.</w:t>
      </w:r>
    </w:p>
    <w:p w:rsidR="00AB2C78" w:rsidRDefault="00AB2C78" w:rsidP="00884C48">
      <w:pPr>
        <w:pStyle w:val="a3"/>
        <w:rPr>
          <w:rFonts w:eastAsiaTheme="minorEastAsia" w:cs="Times New Roman"/>
          <w:szCs w:val="28"/>
        </w:rPr>
      </w:pPr>
    </w:p>
    <w:p w:rsidR="00AB2C78" w:rsidRDefault="00AB2C78" w:rsidP="00884C48">
      <w:pPr>
        <w:pStyle w:val="a3"/>
        <w:rPr>
          <w:rFonts w:eastAsiaTheme="minorEastAsia" w:cs="Times New Roman"/>
          <w:szCs w:val="28"/>
        </w:rPr>
      </w:pPr>
    </w:p>
    <w:p w:rsidR="00A019EE" w:rsidRDefault="00A019EE" w:rsidP="00A019EE">
      <w:pPr>
        <w:pStyle w:val="a3"/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20B9C250" wp14:editId="116035B5">
            <wp:extent cx="5937885" cy="3562350"/>
            <wp:effectExtent l="0" t="0" r="5715" b="0"/>
            <wp:docPr id="19" name="Рисунок 19" descr="C:\Users\dragonballs\AppData\Local\Microsoft\Windows\INetCache\Content.Word\AKIP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ragonballs\AppData\Local\Microsoft\Windows\INetCache\Content.Word\AKIP00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9EE" w:rsidRDefault="00A019EE" w:rsidP="00A019EE">
      <w:pPr>
        <w:pStyle w:val="a3"/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3 - </w:t>
      </w:r>
      <w:r>
        <w:rPr>
          <w:szCs w:val="28"/>
        </w:rPr>
        <w:t>Осциллограмма входного сигнала логического элемента</w:t>
      </w:r>
      <w:proofErr w:type="gramStart"/>
      <w:r>
        <w:rPr>
          <w:szCs w:val="28"/>
        </w:rPr>
        <w:t xml:space="preserve"> И</w:t>
      </w:r>
      <w:proofErr w:type="gramEnd"/>
    </w:p>
    <w:p w:rsidR="00A019EE" w:rsidRDefault="00A019EE" w:rsidP="00A019EE">
      <w:pPr>
        <w:pStyle w:val="a3"/>
        <w:ind w:firstLine="0"/>
        <w:jc w:val="center"/>
        <w:rPr>
          <w:rFonts w:eastAsiaTheme="minorEastAsia" w:cs="Times New Roman"/>
          <w:szCs w:val="28"/>
        </w:rPr>
      </w:pPr>
    </w:p>
    <w:p w:rsidR="00A019EE" w:rsidRPr="00363966" w:rsidRDefault="00333566" w:rsidP="00A019EE">
      <w:pPr>
        <w:pStyle w:val="a3"/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0.5pt">
            <v:imagedata r:id="rId15" o:title="AKIP0002" grayscale="t"/>
          </v:shape>
        </w:pict>
      </w:r>
    </w:p>
    <w:p w:rsidR="00A019EE" w:rsidRDefault="00A019EE" w:rsidP="00A019EE">
      <w:pPr>
        <w:pStyle w:val="a3"/>
        <w:ind w:firstLine="0"/>
        <w:jc w:val="center"/>
        <w:rPr>
          <w:szCs w:val="28"/>
        </w:rPr>
      </w:pPr>
      <w:r>
        <w:rPr>
          <w:rFonts w:eastAsiaTheme="minorEastAsia" w:cs="Times New Roman"/>
          <w:szCs w:val="28"/>
        </w:rPr>
        <w:t xml:space="preserve">Рисунок 4 - </w:t>
      </w:r>
      <w:r>
        <w:rPr>
          <w:szCs w:val="28"/>
        </w:rPr>
        <w:t>Осциллограмма выходного сигнала логического элемента</w:t>
      </w:r>
      <w:proofErr w:type="gramStart"/>
      <w:r>
        <w:rPr>
          <w:szCs w:val="28"/>
        </w:rPr>
        <w:t xml:space="preserve"> И</w:t>
      </w:r>
      <w:proofErr w:type="gramEnd"/>
    </w:p>
    <w:p w:rsidR="004D2BEA" w:rsidRDefault="004D2BEA" w:rsidP="00A019EE">
      <w:pPr>
        <w:pStyle w:val="a3"/>
        <w:ind w:firstLine="0"/>
        <w:jc w:val="center"/>
        <w:rPr>
          <w:szCs w:val="28"/>
        </w:rPr>
      </w:pPr>
    </w:p>
    <w:p w:rsidR="004D2BEA" w:rsidRDefault="003136E4" w:rsidP="004D2BEA">
      <w:pPr>
        <w:pStyle w:val="a3"/>
        <w:ind w:firstLine="708"/>
        <w:rPr>
          <w:szCs w:val="28"/>
        </w:rPr>
      </w:pPr>
      <w:r>
        <w:rPr>
          <w:szCs w:val="28"/>
        </w:rPr>
        <w:t>Для построения временной диаграммы логического элемента</w:t>
      </w:r>
      <w:proofErr w:type="gramStart"/>
      <w:r>
        <w:rPr>
          <w:szCs w:val="28"/>
        </w:rPr>
        <w:t xml:space="preserve"> И</w:t>
      </w:r>
      <w:proofErr w:type="gramEnd"/>
      <w:r>
        <w:rPr>
          <w:szCs w:val="28"/>
        </w:rPr>
        <w:t xml:space="preserve"> была использована таблица 2.</w:t>
      </w:r>
      <w:r w:rsidR="004D2BEA">
        <w:rPr>
          <w:szCs w:val="28"/>
        </w:rPr>
        <w:t xml:space="preserve"> Результат изображен на рисунке 5.</w:t>
      </w:r>
    </w:p>
    <w:p w:rsidR="004D2BEA" w:rsidRDefault="004D2BEA" w:rsidP="004D2BEA">
      <w:pPr>
        <w:pStyle w:val="a3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Согласно варианту – 4, была построена временная диаграмма работы логического элемента ИЛИ-НЕ с периодическими импульсными сигналами, </w:t>
      </w:r>
      <w:r>
        <w:rPr>
          <w:rFonts w:eastAsiaTheme="minorEastAsia" w:cs="Times New Roman"/>
          <w:szCs w:val="28"/>
        </w:rPr>
        <w:t xml:space="preserve">с периодами </w:t>
      </w:r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t</w:t>
      </w:r>
      <w:r w:rsidRPr="00861085">
        <w:rPr>
          <w:rFonts w:eastAsiaTheme="minorEastAsia" w:cs="Times New Roman"/>
          <w:szCs w:val="28"/>
        </w:rPr>
        <w:t xml:space="preserve"> = 15</w:t>
      </w:r>
      <w:r w:rsidR="00136C01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мс</w:t>
      </w:r>
      <w:proofErr w:type="spellEnd"/>
      <w:r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t</w:t>
      </w:r>
      <w:r w:rsidRPr="00861085">
        <w:rPr>
          <w:rFonts w:eastAsiaTheme="minorEastAsia" w:cs="Times New Roman"/>
          <w:szCs w:val="28"/>
        </w:rPr>
        <w:t xml:space="preserve">1 = 3 </w:t>
      </w:r>
      <w:proofErr w:type="spellStart"/>
      <w:r>
        <w:rPr>
          <w:rFonts w:eastAsiaTheme="minorEastAsia" w:cs="Times New Roman"/>
          <w:szCs w:val="28"/>
        </w:rPr>
        <w:t>мс</w:t>
      </w:r>
      <w:proofErr w:type="spellEnd"/>
      <w:r w:rsidRPr="00861085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t</w:t>
      </w:r>
      <w:r w:rsidRPr="00861085">
        <w:rPr>
          <w:rFonts w:eastAsiaTheme="minorEastAsia" w:cs="Times New Roman"/>
          <w:szCs w:val="28"/>
        </w:rPr>
        <w:t>2 = 1</w:t>
      </w:r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мс</w:t>
      </w:r>
      <w:proofErr w:type="spellEnd"/>
      <w:r w:rsidRPr="00861085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t</w:t>
      </w:r>
      <w:r w:rsidRPr="00861085">
        <w:rPr>
          <w:rFonts w:eastAsiaTheme="minorEastAsia" w:cs="Times New Roman"/>
          <w:szCs w:val="28"/>
        </w:rPr>
        <w:t xml:space="preserve">3 = </w:t>
      </w:r>
      <w:r>
        <w:rPr>
          <w:rFonts w:eastAsiaTheme="minorEastAsia" w:cs="Times New Roman"/>
          <w:szCs w:val="28"/>
        </w:rPr>
        <w:t xml:space="preserve">7 </w:t>
      </w:r>
      <w:proofErr w:type="spellStart"/>
      <w:r>
        <w:rPr>
          <w:rFonts w:eastAsiaTheme="minorEastAsia" w:cs="Times New Roman"/>
          <w:szCs w:val="28"/>
        </w:rPr>
        <w:t>мс</w:t>
      </w:r>
      <w:proofErr w:type="spellEnd"/>
      <w:r w:rsidRPr="00861085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t</w:t>
      </w:r>
      <w:r w:rsidRPr="00861085">
        <w:rPr>
          <w:rFonts w:eastAsiaTheme="minorEastAsia" w:cs="Times New Roman"/>
          <w:szCs w:val="28"/>
        </w:rPr>
        <w:t xml:space="preserve">4 = 6 </w:t>
      </w:r>
      <w:proofErr w:type="spellStart"/>
      <w:r>
        <w:rPr>
          <w:rFonts w:eastAsiaTheme="minorEastAsia" w:cs="Times New Roman"/>
          <w:szCs w:val="28"/>
        </w:rPr>
        <w:t>мс</w:t>
      </w:r>
      <w:proofErr w:type="spellEnd"/>
      <w:r>
        <w:rPr>
          <w:rFonts w:eastAsiaTheme="minorEastAsia" w:cs="Times New Roman"/>
          <w:szCs w:val="28"/>
        </w:rPr>
        <w:t>.</w:t>
      </w:r>
      <w:r w:rsidR="00136C01">
        <w:rPr>
          <w:rFonts w:eastAsiaTheme="minorEastAsia" w:cs="Times New Roman"/>
          <w:szCs w:val="28"/>
        </w:rPr>
        <w:t xml:space="preserve"> Результат изображен на рисунке 6.</w:t>
      </w:r>
      <w:r w:rsidR="005A1EA8">
        <w:rPr>
          <w:rFonts w:eastAsiaTheme="minorEastAsia" w:cs="Times New Roman"/>
          <w:szCs w:val="28"/>
        </w:rPr>
        <w:t xml:space="preserve"> </w:t>
      </w:r>
    </w:p>
    <w:p w:rsidR="005A1EA8" w:rsidRPr="005A1EA8" w:rsidRDefault="005A1EA8" w:rsidP="004D2BEA">
      <w:pPr>
        <w:pStyle w:val="a3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построения временной диаграммы элемента ИЛИ-НЕ была использована таблица 3.</w:t>
      </w:r>
    </w:p>
    <w:p w:rsidR="004D2BEA" w:rsidRDefault="004D2BEA" w:rsidP="004D2BEA">
      <w:pPr>
        <w:pStyle w:val="a3"/>
        <w:ind w:firstLine="708"/>
        <w:rPr>
          <w:szCs w:val="28"/>
        </w:rPr>
      </w:pPr>
    </w:p>
    <w:p w:rsidR="00736C2F" w:rsidRDefault="00736C2F" w:rsidP="00A019EE">
      <w:pPr>
        <w:pStyle w:val="a3"/>
        <w:ind w:firstLine="0"/>
        <w:jc w:val="center"/>
        <w:rPr>
          <w:rFonts w:eastAsiaTheme="minorEastAsia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691989" wp14:editId="22BC4119">
            <wp:extent cx="4152675" cy="2552008"/>
            <wp:effectExtent l="0" t="0" r="19685" b="2032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D9FEB7" wp14:editId="2B1A321A">
            <wp:extent cx="4139738" cy="2478982"/>
            <wp:effectExtent l="0" t="0" r="13335" b="1714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E432F9" wp14:editId="2700D701">
            <wp:extent cx="4114800" cy="2470516"/>
            <wp:effectExtent l="0" t="0" r="19050" b="254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36C2F" w:rsidRDefault="00736C2F" w:rsidP="00A019EE">
      <w:pPr>
        <w:pStyle w:val="a3"/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5 – Временная диаграмма для логического элемента</w:t>
      </w:r>
      <w:proofErr w:type="gramStart"/>
      <w:r>
        <w:rPr>
          <w:rFonts w:eastAsiaTheme="minorEastAsia" w:cs="Times New Roman"/>
          <w:szCs w:val="28"/>
        </w:rPr>
        <w:t xml:space="preserve"> И</w:t>
      </w:r>
      <w:proofErr w:type="gramEnd"/>
    </w:p>
    <w:p w:rsidR="00861085" w:rsidRDefault="00861085" w:rsidP="00A019EE">
      <w:pPr>
        <w:pStyle w:val="a3"/>
        <w:ind w:firstLine="0"/>
        <w:jc w:val="center"/>
        <w:rPr>
          <w:rFonts w:eastAsiaTheme="minorEastAsia" w:cs="Times New Roman"/>
          <w:szCs w:val="28"/>
        </w:rPr>
      </w:pPr>
    </w:p>
    <w:p w:rsidR="00382078" w:rsidRDefault="000135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E427AD" wp14:editId="3BD2E600">
            <wp:extent cx="5866410" cy="2809212"/>
            <wp:effectExtent l="0" t="0" r="20320" b="1079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3136E4">
        <w:rPr>
          <w:noProof/>
          <w:lang w:eastAsia="ru-RU"/>
        </w:rPr>
        <w:drawing>
          <wp:inline distT="0" distB="0" distL="0" distR="0" wp14:anchorId="2BC43352" wp14:editId="20F18FCE">
            <wp:extent cx="5902034" cy="2606774"/>
            <wp:effectExtent l="0" t="0" r="22860" b="222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0135E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FD14E9" wp14:editId="13FC1AE1">
            <wp:extent cx="5902035" cy="2685013"/>
            <wp:effectExtent l="0" t="0" r="22860" b="2032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bookmarkStart w:id="0" w:name="_GoBack"/>
      <w:bookmarkEnd w:id="0"/>
    </w:p>
    <w:p w:rsidR="003136E4" w:rsidRPr="003136E4" w:rsidRDefault="003136E4" w:rsidP="003136E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4D2BEA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временная диаграмма логического элемента ИЛИ-НЕ</w:t>
      </w:r>
    </w:p>
    <w:p w:rsidR="00BB72A4" w:rsidRDefault="00BB72A4" w:rsidP="00620D15">
      <w:pPr>
        <w:pStyle w:val="a3"/>
        <w:jc w:val="center"/>
        <w:rPr>
          <w:rFonts w:eastAsiaTheme="minorEastAsia" w:cs="Times New Roman"/>
          <w:szCs w:val="28"/>
        </w:rPr>
      </w:pPr>
    </w:p>
    <w:p w:rsidR="00620D15" w:rsidRDefault="00620D15" w:rsidP="00620D15">
      <w:pPr>
        <w:pStyle w:val="a3"/>
        <w:jc w:val="center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lastRenderedPageBreak/>
        <w:t>ВЫВОД</w:t>
      </w:r>
    </w:p>
    <w:p w:rsidR="00BB72A4" w:rsidRDefault="00BB72A4" w:rsidP="00620D15">
      <w:pPr>
        <w:pStyle w:val="a3"/>
        <w:jc w:val="center"/>
        <w:rPr>
          <w:rFonts w:eastAsiaTheme="minorEastAsia" w:cs="Times New Roman"/>
          <w:szCs w:val="28"/>
        </w:rPr>
      </w:pPr>
    </w:p>
    <w:p w:rsidR="00CC68DB" w:rsidRPr="00583EEF" w:rsidRDefault="00BB72A4" w:rsidP="00BB72A4">
      <w:pPr>
        <w:pStyle w:val="a3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В ходе лабораторной работы была рассмотрена работа, </w:t>
      </w:r>
      <w:r>
        <w:rPr>
          <w:rFonts w:eastAsiaTheme="minorEastAsia" w:cs="Times New Roman"/>
          <w:szCs w:val="28"/>
        </w:rPr>
        <w:t>а так же характеристики</w:t>
      </w:r>
      <w:r>
        <w:rPr>
          <w:rFonts w:eastAsiaTheme="minorEastAsia" w:cs="Times New Roman"/>
          <w:szCs w:val="28"/>
        </w:rPr>
        <w:t xml:space="preserve"> логических элементов: </w:t>
      </w:r>
      <w:proofErr w:type="gramStart"/>
      <w:r>
        <w:rPr>
          <w:rFonts w:eastAsiaTheme="minorEastAsia" w:cs="Times New Roman"/>
          <w:szCs w:val="28"/>
        </w:rPr>
        <w:t>И-НЕ</w:t>
      </w:r>
      <w:proofErr w:type="gramEnd"/>
      <w:r>
        <w:rPr>
          <w:rFonts w:eastAsiaTheme="minorEastAsia" w:cs="Times New Roman"/>
          <w:szCs w:val="28"/>
        </w:rPr>
        <w:t>, И, ИЛИ-НЕ, ИЛИ, ИСКЛЮЧАЮЩЕЕ ИЛИ-НЕ, НЕ. Для данных элементов были построены соответствующие таблицы истинности, а для элемент</w:t>
      </w:r>
      <w:r w:rsidR="00D85483">
        <w:rPr>
          <w:rFonts w:eastAsiaTheme="minorEastAsia" w:cs="Times New Roman"/>
          <w:szCs w:val="28"/>
        </w:rPr>
        <w:t>ов</w:t>
      </w:r>
      <w:r>
        <w:rPr>
          <w:rFonts w:eastAsiaTheme="minorEastAsia" w:cs="Times New Roman"/>
          <w:szCs w:val="28"/>
        </w:rPr>
        <w:t xml:space="preserve"> И-НЕ</w:t>
      </w:r>
      <w:r w:rsidR="00D85483">
        <w:rPr>
          <w:rFonts w:eastAsiaTheme="minorEastAsia" w:cs="Times New Roman"/>
          <w:szCs w:val="28"/>
        </w:rPr>
        <w:t xml:space="preserve"> и</w:t>
      </w:r>
      <w:proofErr w:type="gramStart"/>
      <w:r w:rsidR="00D85483">
        <w:rPr>
          <w:rFonts w:eastAsiaTheme="minorEastAsia" w:cs="Times New Roman"/>
          <w:szCs w:val="28"/>
        </w:rPr>
        <w:t xml:space="preserve"> </w:t>
      </w:r>
      <w:proofErr w:type="spellStart"/>
      <w:r w:rsidR="00D85483">
        <w:rPr>
          <w:rFonts w:eastAsiaTheme="minorEastAsia" w:cs="Times New Roman"/>
          <w:szCs w:val="28"/>
        </w:rPr>
        <w:t>И</w:t>
      </w:r>
      <w:proofErr w:type="spellEnd"/>
      <w:proofErr w:type="gramEnd"/>
      <w:r>
        <w:rPr>
          <w:rFonts w:eastAsiaTheme="minorEastAsia" w:cs="Times New Roman"/>
          <w:szCs w:val="28"/>
        </w:rPr>
        <w:t xml:space="preserve"> на осно</w:t>
      </w:r>
      <w:r w:rsidR="00D85483">
        <w:rPr>
          <w:rFonts w:eastAsiaTheme="minorEastAsia" w:cs="Times New Roman"/>
          <w:szCs w:val="28"/>
        </w:rPr>
        <w:t>ве экспериментальных данных были построены графики амплитудных характеристик</w:t>
      </w:r>
      <w:r>
        <w:rPr>
          <w:rFonts w:eastAsiaTheme="minorEastAsia" w:cs="Times New Roman"/>
          <w:szCs w:val="28"/>
        </w:rPr>
        <w:t>.</w:t>
      </w:r>
      <w:r w:rsidR="00D85483">
        <w:rPr>
          <w:rFonts w:eastAsiaTheme="minorEastAsia" w:cs="Times New Roman"/>
          <w:szCs w:val="28"/>
        </w:rPr>
        <w:t xml:space="preserve"> Из данных графиков можно сделать вывод, что элементы И-НЕ и</w:t>
      </w:r>
      <w:proofErr w:type="gramStart"/>
      <w:r w:rsidR="00D85483">
        <w:rPr>
          <w:rFonts w:eastAsiaTheme="minorEastAsia" w:cs="Times New Roman"/>
          <w:szCs w:val="28"/>
        </w:rPr>
        <w:t xml:space="preserve"> </w:t>
      </w:r>
      <w:proofErr w:type="spellStart"/>
      <w:r w:rsidR="00D85483">
        <w:rPr>
          <w:rFonts w:eastAsiaTheme="minorEastAsia" w:cs="Times New Roman"/>
          <w:szCs w:val="28"/>
        </w:rPr>
        <w:t>И</w:t>
      </w:r>
      <w:proofErr w:type="spellEnd"/>
      <w:proofErr w:type="gramEnd"/>
      <w:r w:rsidR="00D85483">
        <w:rPr>
          <w:rFonts w:eastAsiaTheme="minorEastAsia" w:cs="Times New Roman"/>
          <w:szCs w:val="28"/>
        </w:rPr>
        <w:t xml:space="preserve"> являются противоположными.</w:t>
      </w:r>
      <w:r w:rsidR="00583EEF">
        <w:rPr>
          <w:rFonts w:eastAsiaTheme="minorEastAsia" w:cs="Times New Roman"/>
          <w:szCs w:val="28"/>
        </w:rPr>
        <w:t xml:space="preserve"> Так же, для заданных по варианту исходных данных, была построена временная диаграмма логического элемента ИЛИ-НЕ.</w:t>
      </w:r>
    </w:p>
    <w:sectPr w:rsidR="00CC68DB" w:rsidRPr="00583EEF" w:rsidSect="0043751A">
      <w:footerReference w:type="default" r:id="rId2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11B" w:rsidRDefault="0082211B" w:rsidP="0043751A">
      <w:pPr>
        <w:spacing w:after="0" w:line="240" w:lineRule="auto"/>
      </w:pPr>
      <w:r>
        <w:separator/>
      </w:r>
    </w:p>
  </w:endnote>
  <w:endnote w:type="continuationSeparator" w:id="0">
    <w:p w:rsidR="0082211B" w:rsidRDefault="0082211B" w:rsidP="0043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6767115"/>
      <w:docPartObj>
        <w:docPartGallery w:val="Page Numbers (Bottom of Page)"/>
        <w:docPartUnique/>
      </w:docPartObj>
    </w:sdtPr>
    <w:sdtEndPr/>
    <w:sdtContent>
      <w:p w:rsidR="00736C2F" w:rsidRDefault="00736C2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311">
          <w:rPr>
            <w:noProof/>
          </w:rPr>
          <w:t>10</w:t>
        </w:r>
        <w:r>
          <w:fldChar w:fldCharType="end"/>
        </w:r>
      </w:p>
    </w:sdtContent>
  </w:sdt>
  <w:p w:rsidR="00736C2F" w:rsidRDefault="00736C2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11B" w:rsidRDefault="0082211B" w:rsidP="0043751A">
      <w:pPr>
        <w:spacing w:after="0" w:line="240" w:lineRule="auto"/>
      </w:pPr>
      <w:r>
        <w:separator/>
      </w:r>
    </w:p>
  </w:footnote>
  <w:footnote w:type="continuationSeparator" w:id="0">
    <w:p w:rsidR="0082211B" w:rsidRDefault="0082211B" w:rsidP="00437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55E"/>
    <w:multiLevelType w:val="hybridMultilevel"/>
    <w:tmpl w:val="2FF4EE7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92075C"/>
    <w:multiLevelType w:val="hybridMultilevel"/>
    <w:tmpl w:val="19A42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48732B"/>
    <w:multiLevelType w:val="hybridMultilevel"/>
    <w:tmpl w:val="565A2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D61772"/>
    <w:multiLevelType w:val="hybridMultilevel"/>
    <w:tmpl w:val="EFD0C8B0"/>
    <w:lvl w:ilvl="0" w:tplc="E8383BA8">
      <w:start w:val="1"/>
      <w:numFmt w:val="decimal"/>
      <w:lvlText w:val="4.%1"/>
      <w:lvlJc w:val="left"/>
      <w:pPr>
        <w:ind w:left="142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15801C4"/>
    <w:multiLevelType w:val="hybridMultilevel"/>
    <w:tmpl w:val="F6A6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137F1"/>
    <w:multiLevelType w:val="hybridMultilevel"/>
    <w:tmpl w:val="9FF87F52"/>
    <w:lvl w:ilvl="0" w:tplc="690C4BB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5C"/>
    <w:rsid w:val="00003CC4"/>
    <w:rsid w:val="000135E2"/>
    <w:rsid w:val="000270C4"/>
    <w:rsid w:val="000414A2"/>
    <w:rsid w:val="00051830"/>
    <w:rsid w:val="000601E4"/>
    <w:rsid w:val="0007591C"/>
    <w:rsid w:val="000768D6"/>
    <w:rsid w:val="00094C3C"/>
    <w:rsid w:val="000A6714"/>
    <w:rsid w:val="000C7BDA"/>
    <w:rsid w:val="000E4E73"/>
    <w:rsid w:val="00102D08"/>
    <w:rsid w:val="0010300B"/>
    <w:rsid w:val="00113BD0"/>
    <w:rsid w:val="001217BD"/>
    <w:rsid w:val="00136C01"/>
    <w:rsid w:val="00146717"/>
    <w:rsid w:val="001468CD"/>
    <w:rsid w:val="001625E8"/>
    <w:rsid w:val="00177311"/>
    <w:rsid w:val="001863A9"/>
    <w:rsid w:val="00190B15"/>
    <w:rsid w:val="001A197D"/>
    <w:rsid w:val="001C2E5E"/>
    <w:rsid w:val="002003E5"/>
    <w:rsid w:val="00223F33"/>
    <w:rsid w:val="00230480"/>
    <w:rsid w:val="00235506"/>
    <w:rsid w:val="002368A9"/>
    <w:rsid w:val="00240C57"/>
    <w:rsid w:val="00245E2E"/>
    <w:rsid w:val="00250B4B"/>
    <w:rsid w:val="002740D5"/>
    <w:rsid w:val="0029136F"/>
    <w:rsid w:val="002A4F53"/>
    <w:rsid w:val="002A5992"/>
    <w:rsid w:val="002A7198"/>
    <w:rsid w:val="002B3685"/>
    <w:rsid w:val="002B7012"/>
    <w:rsid w:val="002C0FA1"/>
    <w:rsid w:val="002C3A2B"/>
    <w:rsid w:val="002D4830"/>
    <w:rsid w:val="003136E4"/>
    <w:rsid w:val="00313774"/>
    <w:rsid w:val="00315E26"/>
    <w:rsid w:val="003268C3"/>
    <w:rsid w:val="00326B55"/>
    <w:rsid w:val="00333566"/>
    <w:rsid w:val="00344783"/>
    <w:rsid w:val="00363966"/>
    <w:rsid w:val="00382078"/>
    <w:rsid w:val="00391D31"/>
    <w:rsid w:val="0039713C"/>
    <w:rsid w:val="003B1A79"/>
    <w:rsid w:val="003B5CEC"/>
    <w:rsid w:val="003C0656"/>
    <w:rsid w:val="003E1274"/>
    <w:rsid w:val="00420643"/>
    <w:rsid w:val="00420B4B"/>
    <w:rsid w:val="00423009"/>
    <w:rsid w:val="004275BE"/>
    <w:rsid w:val="00433528"/>
    <w:rsid w:val="0043751A"/>
    <w:rsid w:val="00441FF7"/>
    <w:rsid w:val="00443765"/>
    <w:rsid w:val="00452AC9"/>
    <w:rsid w:val="00465F37"/>
    <w:rsid w:val="00467BB8"/>
    <w:rsid w:val="00480F34"/>
    <w:rsid w:val="00486C66"/>
    <w:rsid w:val="004912DE"/>
    <w:rsid w:val="004A7742"/>
    <w:rsid w:val="004B16F6"/>
    <w:rsid w:val="004B39C8"/>
    <w:rsid w:val="004C1752"/>
    <w:rsid w:val="004C3748"/>
    <w:rsid w:val="004C70A7"/>
    <w:rsid w:val="004D2BEA"/>
    <w:rsid w:val="004E319D"/>
    <w:rsid w:val="0050711B"/>
    <w:rsid w:val="00510517"/>
    <w:rsid w:val="0051721F"/>
    <w:rsid w:val="005347BF"/>
    <w:rsid w:val="0055651A"/>
    <w:rsid w:val="00562A97"/>
    <w:rsid w:val="0056489B"/>
    <w:rsid w:val="00583EEF"/>
    <w:rsid w:val="005A1EA8"/>
    <w:rsid w:val="005A6775"/>
    <w:rsid w:val="005D1CED"/>
    <w:rsid w:val="005D4081"/>
    <w:rsid w:val="005E35E1"/>
    <w:rsid w:val="005E4207"/>
    <w:rsid w:val="0061045C"/>
    <w:rsid w:val="00620D15"/>
    <w:rsid w:val="00621342"/>
    <w:rsid w:val="006232AA"/>
    <w:rsid w:val="00637A5F"/>
    <w:rsid w:val="00644497"/>
    <w:rsid w:val="00657B68"/>
    <w:rsid w:val="00663967"/>
    <w:rsid w:val="00665E1C"/>
    <w:rsid w:val="006709F7"/>
    <w:rsid w:val="00693A7E"/>
    <w:rsid w:val="0069615D"/>
    <w:rsid w:val="006C0A24"/>
    <w:rsid w:val="006F1C06"/>
    <w:rsid w:val="00703BDE"/>
    <w:rsid w:val="00715A54"/>
    <w:rsid w:val="007162C0"/>
    <w:rsid w:val="007222E5"/>
    <w:rsid w:val="00732239"/>
    <w:rsid w:val="00736C2F"/>
    <w:rsid w:val="007479B0"/>
    <w:rsid w:val="007646BD"/>
    <w:rsid w:val="00783ABC"/>
    <w:rsid w:val="007857DA"/>
    <w:rsid w:val="007A11D1"/>
    <w:rsid w:val="007E2EAA"/>
    <w:rsid w:val="00807949"/>
    <w:rsid w:val="0082211B"/>
    <w:rsid w:val="00824178"/>
    <w:rsid w:val="00825FBC"/>
    <w:rsid w:val="00861085"/>
    <w:rsid w:val="0086120E"/>
    <w:rsid w:val="008623F7"/>
    <w:rsid w:val="008633EC"/>
    <w:rsid w:val="00876887"/>
    <w:rsid w:val="00884C48"/>
    <w:rsid w:val="008B10FB"/>
    <w:rsid w:val="008B58DF"/>
    <w:rsid w:val="008E4F12"/>
    <w:rsid w:val="008F3A5C"/>
    <w:rsid w:val="00923B33"/>
    <w:rsid w:val="009279EF"/>
    <w:rsid w:val="0093069A"/>
    <w:rsid w:val="00931D63"/>
    <w:rsid w:val="00933D03"/>
    <w:rsid w:val="009533D5"/>
    <w:rsid w:val="009554F9"/>
    <w:rsid w:val="00956C28"/>
    <w:rsid w:val="00963F3F"/>
    <w:rsid w:val="00965FEE"/>
    <w:rsid w:val="00977F7D"/>
    <w:rsid w:val="009903D0"/>
    <w:rsid w:val="009A45F3"/>
    <w:rsid w:val="009B3A38"/>
    <w:rsid w:val="009B4AD7"/>
    <w:rsid w:val="009C34E3"/>
    <w:rsid w:val="009C7CEF"/>
    <w:rsid w:val="009E1F4F"/>
    <w:rsid w:val="009E628C"/>
    <w:rsid w:val="009F5ECD"/>
    <w:rsid w:val="00A019EE"/>
    <w:rsid w:val="00A05415"/>
    <w:rsid w:val="00A066BC"/>
    <w:rsid w:val="00A11183"/>
    <w:rsid w:val="00A1368A"/>
    <w:rsid w:val="00A17BF4"/>
    <w:rsid w:val="00A53E49"/>
    <w:rsid w:val="00A55970"/>
    <w:rsid w:val="00A6114E"/>
    <w:rsid w:val="00A71468"/>
    <w:rsid w:val="00A8625C"/>
    <w:rsid w:val="00AA7948"/>
    <w:rsid w:val="00AB2C78"/>
    <w:rsid w:val="00AF279A"/>
    <w:rsid w:val="00B01488"/>
    <w:rsid w:val="00B0772E"/>
    <w:rsid w:val="00B17906"/>
    <w:rsid w:val="00B4005A"/>
    <w:rsid w:val="00B43593"/>
    <w:rsid w:val="00B5127F"/>
    <w:rsid w:val="00B87A9E"/>
    <w:rsid w:val="00B926CA"/>
    <w:rsid w:val="00B97F31"/>
    <w:rsid w:val="00BA2FCA"/>
    <w:rsid w:val="00BB72A4"/>
    <w:rsid w:val="00BD7106"/>
    <w:rsid w:val="00BE000E"/>
    <w:rsid w:val="00BE63B2"/>
    <w:rsid w:val="00BF5A52"/>
    <w:rsid w:val="00C14B92"/>
    <w:rsid w:val="00C32C69"/>
    <w:rsid w:val="00C530AD"/>
    <w:rsid w:val="00C54594"/>
    <w:rsid w:val="00CA0F9A"/>
    <w:rsid w:val="00CA41B3"/>
    <w:rsid w:val="00CA5F4A"/>
    <w:rsid w:val="00CB02E2"/>
    <w:rsid w:val="00CB2A74"/>
    <w:rsid w:val="00CC1AEA"/>
    <w:rsid w:val="00CC68DB"/>
    <w:rsid w:val="00CE1B13"/>
    <w:rsid w:val="00CE6B5F"/>
    <w:rsid w:val="00CE6FEE"/>
    <w:rsid w:val="00CE74BF"/>
    <w:rsid w:val="00CE79DA"/>
    <w:rsid w:val="00D0233B"/>
    <w:rsid w:val="00D05D73"/>
    <w:rsid w:val="00D17618"/>
    <w:rsid w:val="00D26FB8"/>
    <w:rsid w:val="00D46966"/>
    <w:rsid w:val="00D51E1B"/>
    <w:rsid w:val="00D5716E"/>
    <w:rsid w:val="00D61959"/>
    <w:rsid w:val="00D75D40"/>
    <w:rsid w:val="00D76322"/>
    <w:rsid w:val="00D8282C"/>
    <w:rsid w:val="00D85483"/>
    <w:rsid w:val="00D978E7"/>
    <w:rsid w:val="00DB17CE"/>
    <w:rsid w:val="00DD6590"/>
    <w:rsid w:val="00DF71FA"/>
    <w:rsid w:val="00E006F7"/>
    <w:rsid w:val="00E02DAA"/>
    <w:rsid w:val="00E16B8C"/>
    <w:rsid w:val="00E1728C"/>
    <w:rsid w:val="00E263FF"/>
    <w:rsid w:val="00E26F0E"/>
    <w:rsid w:val="00E37BE4"/>
    <w:rsid w:val="00E42DCB"/>
    <w:rsid w:val="00E439D0"/>
    <w:rsid w:val="00E45A06"/>
    <w:rsid w:val="00E66312"/>
    <w:rsid w:val="00E70652"/>
    <w:rsid w:val="00EB7432"/>
    <w:rsid w:val="00EF3A9D"/>
    <w:rsid w:val="00F10EAC"/>
    <w:rsid w:val="00F418C3"/>
    <w:rsid w:val="00F66C5E"/>
    <w:rsid w:val="00F87813"/>
    <w:rsid w:val="00F87EE1"/>
    <w:rsid w:val="00FA4393"/>
    <w:rsid w:val="00FB4FCD"/>
    <w:rsid w:val="00FB7B3B"/>
    <w:rsid w:val="00FD0910"/>
    <w:rsid w:val="00FD76F0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  <w:style w:type="paragraph" w:styleId="a8">
    <w:name w:val="List Paragraph"/>
    <w:basedOn w:val="a"/>
    <w:uiPriority w:val="34"/>
    <w:qFormat/>
    <w:rsid w:val="00CC68DB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51A"/>
  </w:style>
  <w:style w:type="paragraph" w:styleId="ab">
    <w:name w:val="footer"/>
    <w:basedOn w:val="a"/>
    <w:link w:val="ac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5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  <w:style w:type="paragraph" w:styleId="a8">
    <w:name w:val="List Paragraph"/>
    <w:basedOn w:val="a"/>
    <w:uiPriority w:val="34"/>
    <w:qFormat/>
    <w:rsid w:val="00CC68DB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51A"/>
  </w:style>
  <w:style w:type="paragraph" w:styleId="ab">
    <w:name w:val="footer"/>
    <w:basedOn w:val="a"/>
    <w:link w:val="ac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6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4\&#1054;&#1058;&#1063;&#1045;&#1058;\graphics_lab_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4\&#1054;&#1058;&#1063;&#1045;&#1058;\graphics_lab_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4\&#1054;&#1058;&#1063;&#1045;&#1058;\graphics_lab_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4\&#1054;&#1058;&#1063;&#1045;&#1058;\graphics_lab_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4\&#1054;&#1058;&#1063;&#1045;&#1058;\graphics_lab_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4\&#1054;&#1058;&#1063;&#1045;&#1058;\graphics_lab_4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4\&#1054;&#1058;&#1063;&#1045;&#1058;\graphics_lab_4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4\&#1054;&#1058;&#1063;&#1045;&#1058;\graphics_lab_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ИЛИ</a:t>
            </a:r>
            <a:r>
              <a:rPr lang="ru-RU" baseline="0"/>
              <a:t>-НЕ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3.8974567645258446E-2"/>
          <c:y val="0.19014553088528324"/>
          <c:w val="0.79624290008400211"/>
          <c:h val="0.66860767150583544"/>
        </c:manualLayout>
      </c:layout>
      <c:scatterChart>
        <c:scatterStyle val="lineMarker"/>
        <c:varyColors val="0"/>
        <c:ser>
          <c:idx val="0"/>
          <c:order val="0"/>
          <c:tx>
            <c:v>NOT AND</c:v>
          </c:tx>
          <c:xVal>
            <c:numRef>
              <c:f>Лист1!$D$10:$R$10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2.1</c:v>
                </c:pt>
                <c:pt idx="4">
                  <c:v>2.2000000000000002</c:v>
                </c:pt>
                <c:pt idx="5">
                  <c:v>2.2999999999999998</c:v>
                </c:pt>
                <c:pt idx="6">
                  <c:v>2.4</c:v>
                </c:pt>
                <c:pt idx="7">
                  <c:v>2.5</c:v>
                </c:pt>
                <c:pt idx="8">
                  <c:v>2.6</c:v>
                </c:pt>
                <c:pt idx="9">
                  <c:v>2.7</c:v>
                </c:pt>
                <c:pt idx="10">
                  <c:v>2.8</c:v>
                </c:pt>
                <c:pt idx="11">
                  <c:v>2.9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</c:numCache>
            </c:numRef>
          </c:xVal>
          <c:yVal>
            <c:numRef>
              <c:f>Лист1!$D$11:$R$11</c:f>
              <c:numCache>
                <c:formatCode>General</c:formatCode>
                <c:ptCount val="1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2.57</c:v>
                </c:pt>
                <c:pt idx="4">
                  <c:v>2.56</c:v>
                </c:pt>
                <c:pt idx="5">
                  <c:v>2.4300000000000002</c:v>
                </c:pt>
                <c:pt idx="6">
                  <c:v>2.36</c:v>
                </c:pt>
                <c:pt idx="7">
                  <c:v>2.2599999999999998</c:v>
                </c:pt>
                <c:pt idx="8">
                  <c:v>2.16</c:v>
                </c:pt>
                <c:pt idx="9">
                  <c:v>2</c:v>
                </c:pt>
                <c:pt idx="10">
                  <c:v>1.73</c:v>
                </c:pt>
                <c:pt idx="11">
                  <c:v>1.48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88576"/>
        <c:axId val="184333824"/>
      </c:scatterChart>
      <c:valAx>
        <c:axId val="183688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U</a:t>
                </a:r>
                <a:r>
                  <a:rPr lang="ru-RU" sz="1600"/>
                  <a:t>вх,</a:t>
                </a:r>
                <a:r>
                  <a:rPr lang="ru-RU" sz="1600" baseline="0"/>
                  <a:t> В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0.84203126716000121"/>
              <c:y val="0.8137973242243097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4333824"/>
        <c:crosses val="autoZero"/>
        <c:crossBetween val="midCat"/>
      </c:valAx>
      <c:valAx>
        <c:axId val="1843338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800"/>
                </a:pPr>
                <a:r>
                  <a:rPr lang="en-US" sz="1400" b="1" i="0" baseline="0">
                    <a:effectLst/>
                  </a:rPr>
                  <a:t>U</a:t>
                </a:r>
                <a:r>
                  <a:rPr lang="ru-RU" sz="1400" b="1" i="0" baseline="0">
                    <a:effectLst/>
                  </a:rPr>
                  <a:t>вых, В</a:t>
                </a:r>
                <a:endParaRPr lang="ru-RU" sz="800">
                  <a:effectLst/>
                </a:endParaRPr>
              </a:p>
            </c:rich>
          </c:tx>
          <c:layout>
            <c:manualLayout>
              <c:xMode val="edge"/>
              <c:yMode val="edge"/>
              <c:x val="0"/>
              <c:y val="4.3239752348420146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36885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3.9070191369292573E-2"/>
          <c:y val="0.19060522424206972"/>
          <c:w val="0.83362162766834591"/>
          <c:h val="0.68696778667024294"/>
        </c:manualLayout>
      </c:layout>
      <c:scatterChart>
        <c:scatterStyle val="lineMarker"/>
        <c:varyColors val="0"/>
        <c:ser>
          <c:idx val="0"/>
          <c:order val="0"/>
          <c:tx>
            <c:v>AND</c:v>
          </c:tx>
          <c:xVal>
            <c:numRef>
              <c:f>Лист1!$D$5:$R$5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2.1</c:v>
                </c:pt>
                <c:pt idx="4">
                  <c:v>2.2000000000000002</c:v>
                </c:pt>
                <c:pt idx="5">
                  <c:v>2.2999999999999998</c:v>
                </c:pt>
                <c:pt idx="6">
                  <c:v>2.4</c:v>
                </c:pt>
                <c:pt idx="7">
                  <c:v>2.5</c:v>
                </c:pt>
                <c:pt idx="8">
                  <c:v>2.6</c:v>
                </c:pt>
                <c:pt idx="9">
                  <c:v>2.7</c:v>
                </c:pt>
                <c:pt idx="10">
                  <c:v>2.8</c:v>
                </c:pt>
                <c:pt idx="11">
                  <c:v>2.9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</c:numCache>
            </c:numRef>
          </c:xVal>
          <c:yVal>
            <c:numRef>
              <c:f>Лист1!$D$6:$R$6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0.6</c:v>
                </c:pt>
                <c:pt idx="6">
                  <c:v>2.98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813440"/>
        <c:axId val="184832000"/>
      </c:scatterChart>
      <c:valAx>
        <c:axId val="184813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00"/>
                </a:pPr>
                <a:r>
                  <a:rPr lang="en-US" sz="1400" b="1" i="0" baseline="0">
                    <a:effectLst/>
                  </a:rPr>
                  <a:t>U</a:t>
                </a:r>
                <a:r>
                  <a:rPr lang="ru-RU" sz="1400" b="1" i="0" baseline="0">
                    <a:effectLst/>
                  </a:rPr>
                  <a:t>вх, В</a:t>
                </a:r>
                <a:endParaRPr lang="ru-RU" sz="8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8542517548174371"/>
              <c:y val="0.8143890296195421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4832000"/>
        <c:crosses val="autoZero"/>
        <c:crossBetween val="midCat"/>
      </c:valAx>
      <c:valAx>
        <c:axId val="18483200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8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 i="0" baseline="0">
                    <a:effectLst/>
                  </a:rPr>
                  <a:t>U</a:t>
                </a:r>
                <a:r>
                  <a:rPr lang="ru-RU" sz="1400" b="1" i="0" baseline="0">
                    <a:effectLst/>
                  </a:rPr>
                  <a:t>вых, В</a:t>
                </a:r>
                <a:endParaRPr lang="ru-RU" sz="800">
                  <a:effectLst/>
                </a:endParaRPr>
              </a:p>
            </c:rich>
          </c:tx>
          <c:layout>
            <c:manualLayout>
              <c:xMode val="edge"/>
              <c:yMode val="edge"/>
              <c:x val="0"/>
              <c:y val="6.025491310882850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48134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6.0224435793716447E-2"/>
          <c:y val="0.19776940639015922"/>
          <c:w val="0.766636599578565"/>
          <c:h val="0.58481877352139722"/>
        </c:manualLayout>
      </c:layout>
      <c:scatterChart>
        <c:scatterStyle val="lineMarker"/>
        <c:varyColors val="0"/>
        <c:ser>
          <c:idx val="0"/>
          <c:order val="0"/>
          <c:tx>
            <c:v>X1</c:v>
          </c:tx>
          <c:marker>
            <c:symbol val="none"/>
          </c:marker>
          <c:xVal>
            <c:numRef>
              <c:f>Лист3!$B$18:$V$18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13</c:v>
                </c:pt>
                <c:pt idx="17">
                  <c:v>14</c:v>
                </c:pt>
                <c:pt idx="18">
                  <c:v>15</c:v>
                </c:pt>
                <c:pt idx="19">
                  <c:v>15</c:v>
                </c:pt>
                <c:pt idx="20">
                  <c:v>16</c:v>
                </c:pt>
              </c:numCache>
            </c:numRef>
          </c:xVal>
          <c:yVal>
            <c:numRef>
              <c:f>Лист3!$B$19:$V$19</c:f>
              <c:numCache>
                <c:formatCode>General</c:formatCode>
                <c:ptCount val="21"/>
                <c:pt idx="0">
                  <c:v>1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119872"/>
        <c:axId val="185121792"/>
      </c:scatterChart>
      <c:valAx>
        <c:axId val="185119872"/>
        <c:scaling>
          <c:orientation val="minMax"/>
          <c:max val="16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мс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4568169102436186"/>
              <c:y val="0.740529914017485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5121792"/>
        <c:crosses val="autoZero"/>
        <c:crossBetween val="midCat"/>
        <c:majorUnit val="1"/>
      </c:valAx>
      <c:valAx>
        <c:axId val="185121792"/>
        <c:scaling>
          <c:orientation val="minMax"/>
          <c:max val="6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3333369787125886E-3"/>
              <c:y val="8.783702514488016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5119872"/>
        <c:crosses val="autoZero"/>
        <c:crossBetween val="midCat"/>
        <c:majorUnit val="5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7905099696019112E-2"/>
          <c:y val="0.19790413607637794"/>
          <c:w val="0.7689559356762623"/>
          <c:h val="0.62445500823391376"/>
        </c:manualLayout>
      </c:layout>
      <c:scatterChart>
        <c:scatterStyle val="lineMarker"/>
        <c:varyColors val="0"/>
        <c:ser>
          <c:idx val="0"/>
          <c:order val="0"/>
          <c:tx>
            <c:v>X2</c:v>
          </c:tx>
          <c:marker>
            <c:symbol val="none"/>
          </c:marker>
          <c:xVal>
            <c:numRef>
              <c:f>Лист3!$B$22:$AH$22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  <c:pt idx="12">
                  <c:v>6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9</c:v>
                </c:pt>
                <c:pt idx="19">
                  <c:v>9</c:v>
                </c:pt>
                <c:pt idx="20">
                  <c:v>10</c:v>
                </c:pt>
                <c:pt idx="21">
                  <c:v>10</c:v>
                </c:pt>
                <c:pt idx="22">
                  <c:v>11</c:v>
                </c:pt>
                <c:pt idx="23">
                  <c:v>11</c:v>
                </c:pt>
                <c:pt idx="24">
                  <c:v>12</c:v>
                </c:pt>
                <c:pt idx="25">
                  <c:v>12</c:v>
                </c:pt>
                <c:pt idx="26">
                  <c:v>13</c:v>
                </c:pt>
                <c:pt idx="27">
                  <c:v>13</c:v>
                </c:pt>
                <c:pt idx="28">
                  <c:v>14</c:v>
                </c:pt>
                <c:pt idx="29">
                  <c:v>14</c:v>
                </c:pt>
                <c:pt idx="30">
                  <c:v>15</c:v>
                </c:pt>
                <c:pt idx="31">
                  <c:v>15</c:v>
                </c:pt>
                <c:pt idx="32">
                  <c:v>16</c:v>
                </c:pt>
              </c:numCache>
            </c:numRef>
          </c:xVal>
          <c:yVal>
            <c:numRef>
              <c:f>Лист3!$B$23:$AH$23</c:f>
              <c:numCache>
                <c:formatCode>General</c:formatCode>
                <c:ptCount val="33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5</c:v>
                </c:pt>
                <c:pt idx="10">
                  <c:v>5</c:v>
                </c:pt>
                <c:pt idx="11">
                  <c:v>0</c:v>
                </c:pt>
                <c:pt idx="12">
                  <c:v>0</c:v>
                </c:pt>
                <c:pt idx="13">
                  <c:v>5</c:v>
                </c:pt>
                <c:pt idx="14">
                  <c:v>5</c:v>
                </c:pt>
                <c:pt idx="15">
                  <c:v>0</c:v>
                </c:pt>
                <c:pt idx="16">
                  <c:v>0</c:v>
                </c:pt>
                <c:pt idx="17">
                  <c:v>5</c:v>
                </c:pt>
                <c:pt idx="18">
                  <c:v>5</c:v>
                </c:pt>
                <c:pt idx="19">
                  <c:v>0</c:v>
                </c:pt>
                <c:pt idx="20">
                  <c:v>0</c:v>
                </c:pt>
                <c:pt idx="21">
                  <c:v>5</c:v>
                </c:pt>
                <c:pt idx="22">
                  <c:v>5</c:v>
                </c:pt>
                <c:pt idx="23">
                  <c:v>0</c:v>
                </c:pt>
                <c:pt idx="24">
                  <c:v>0</c:v>
                </c:pt>
                <c:pt idx="25">
                  <c:v>5</c:v>
                </c:pt>
                <c:pt idx="26">
                  <c:v>5</c:v>
                </c:pt>
                <c:pt idx="27">
                  <c:v>0</c:v>
                </c:pt>
                <c:pt idx="28">
                  <c:v>0</c:v>
                </c:pt>
                <c:pt idx="29">
                  <c:v>5</c:v>
                </c:pt>
                <c:pt idx="30">
                  <c:v>5</c:v>
                </c:pt>
                <c:pt idx="31">
                  <c:v>0</c:v>
                </c:pt>
                <c:pt idx="32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424512"/>
        <c:axId val="187351808"/>
      </c:scatterChart>
      <c:valAx>
        <c:axId val="185424512"/>
        <c:scaling>
          <c:orientation val="minMax"/>
          <c:max val="16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500"/>
                </a:pPr>
                <a:r>
                  <a:rPr lang="en-US" sz="1050" b="1" i="0" baseline="0">
                    <a:effectLst/>
                  </a:rPr>
                  <a:t>t, </a:t>
                </a:r>
                <a:r>
                  <a:rPr lang="ru-RU" sz="1050" b="1" i="0" baseline="0">
                    <a:effectLst/>
                  </a:rPr>
                  <a:t>мс</a:t>
                </a:r>
                <a:endParaRPr lang="ru-RU" sz="5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3566790711631977"/>
              <c:y val="0.7581213399295688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7351808"/>
        <c:crosses val="autoZero"/>
        <c:crossBetween val="midCat"/>
        <c:majorUnit val="1"/>
      </c:valAx>
      <c:valAx>
        <c:axId val="187351808"/>
        <c:scaling>
          <c:orientation val="minMax"/>
          <c:max val="6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600"/>
                </a:pPr>
                <a:r>
                  <a:rPr lang="en-US" sz="1100" b="1" i="0" baseline="0">
                    <a:effectLst/>
                  </a:rPr>
                  <a:t>U</a:t>
                </a:r>
                <a:r>
                  <a:rPr lang="ru-RU" sz="1100" b="1" i="0" baseline="0">
                    <a:effectLst/>
                  </a:rPr>
                  <a:t>вх</a:t>
                </a:r>
                <a:r>
                  <a:rPr lang="en-US" sz="1100" b="1" i="0" baseline="0">
                    <a:effectLst/>
                  </a:rPr>
                  <a:t>, </a:t>
                </a:r>
                <a:r>
                  <a:rPr lang="ru-RU" sz="1100" b="1" i="0" baseline="0">
                    <a:effectLst/>
                  </a:rPr>
                  <a:t>В</a:t>
                </a:r>
                <a:endParaRPr lang="ru-RU" sz="600">
                  <a:effectLst/>
                </a:endParaRPr>
              </a:p>
            </c:rich>
          </c:tx>
          <c:layout>
            <c:manualLayout>
              <c:xMode val="edge"/>
              <c:yMode val="edge"/>
              <c:x val="0"/>
              <c:y val="0.126621318495976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5424512"/>
        <c:crosses val="autoZero"/>
        <c:crossBetween val="midCat"/>
        <c:majorUnit val="5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7905099696019112E-2"/>
          <c:y val="0.20272187553346863"/>
          <c:w val="0.78391416619167376"/>
          <c:h val="0.6622507160334592"/>
        </c:manualLayout>
      </c:layout>
      <c:scatterChart>
        <c:scatterStyle val="lineMarker"/>
        <c:varyColors val="0"/>
        <c:ser>
          <c:idx val="0"/>
          <c:order val="0"/>
          <c:tx>
            <c:v>Y</c:v>
          </c:tx>
          <c:marker>
            <c:symbol val="none"/>
          </c:marker>
          <c:xVal>
            <c:numRef>
              <c:f>Лист3!$B$28:$Z$28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11</c:v>
                </c:pt>
                <c:pt idx="15">
                  <c:v>11</c:v>
                </c:pt>
                <c:pt idx="16">
                  <c:v>12</c:v>
                </c:pt>
                <c:pt idx="17">
                  <c:v>12</c:v>
                </c:pt>
                <c:pt idx="18">
                  <c:v>13</c:v>
                </c:pt>
                <c:pt idx="19">
                  <c:v>13</c:v>
                </c:pt>
                <c:pt idx="20">
                  <c:v>14</c:v>
                </c:pt>
                <c:pt idx="21">
                  <c:v>14</c:v>
                </c:pt>
                <c:pt idx="22">
                  <c:v>15</c:v>
                </c:pt>
                <c:pt idx="23">
                  <c:v>15</c:v>
                </c:pt>
                <c:pt idx="24">
                  <c:v>16</c:v>
                </c:pt>
              </c:numCache>
            </c:numRef>
          </c:xVal>
          <c:yVal>
            <c:numRef>
              <c:f>Лист3!$B$29:$Z$29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5</c:v>
                </c:pt>
                <c:pt idx="10">
                  <c:v>5</c:v>
                </c:pt>
                <c:pt idx="11">
                  <c:v>0</c:v>
                </c:pt>
                <c:pt idx="12">
                  <c:v>0</c:v>
                </c:pt>
                <c:pt idx="13">
                  <c:v>5</c:v>
                </c:pt>
                <c:pt idx="14">
                  <c:v>5</c:v>
                </c:pt>
                <c:pt idx="15">
                  <c:v>0</c:v>
                </c:pt>
                <c:pt idx="16">
                  <c:v>0</c:v>
                </c:pt>
                <c:pt idx="17">
                  <c:v>5</c:v>
                </c:pt>
                <c:pt idx="18">
                  <c:v>5</c:v>
                </c:pt>
                <c:pt idx="19">
                  <c:v>0</c:v>
                </c:pt>
                <c:pt idx="20">
                  <c:v>0</c:v>
                </c:pt>
                <c:pt idx="21">
                  <c:v>5</c:v>
                </c:pt>
                <c:pt idx="22">
                  <c:v>5</c:v>
                </c:pt>
                <c:pt idx="23">
                  <c:v>0</c:v>
                </c:pt>
                <c:pt idx="24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183680"/>
        <c:axId val="188185600"/>
      </c:scatterChart>
      <c:valAx>
        <c:axId val="188183680"/>
        <c:scaling>
          <c:orientation val="minMax"/>
          <c:max val="16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600"/>
                </a:pPr>
                <a:r>
                  <a:rPr lang="en-US" sz="1100" b="1" i="0" baseline="0">
                    <a:effectLst/>
                  </a:rPr>
                  <a:t>t, </a:t>
                </a:r>
                <a:r>
                  <a:rPr lang="ru-RU" sz="1100" b="1" i="0" baseline="0">
                    <a:effectLst/>
                  </a:rPr>
                  <a:t>мс</a:t>
                </a:r>
                <a:endParaRPr lang="ru-RU" sz="6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5636236061345605"/>
              <c:y val="0.8122254888943685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8185600"/>
        <c:crosses val="autoZero"/>
        <c:crossBetween val="midCat"/>
        <c:majorUnit val="1"/>
      </c:valAx>
      <c:valAx>
        <c:axId val="188185600"/>
        <c:scaling>
          <c:orientation val="minMax"/>
          <c:max val="6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3888894964520981E-2"/>
              <c:y val="0.10697672654160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8183680"/>
        <c:crosses val="autoZero"/>
        <c:crossBetween val="midCat"/>
        <c:majorUnit val="5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6.0224435793716447E-2"/>
          <c:y val="0.19776940639015922"/>
          <c:w val="0.766636599578565"/>
          <c:h val="0.58481877352139722"/>
        </c:manualLayout>
      </c:layout>
      <c:scatterChart>
        <c:scatterStyle val="lineMarker"/>
        <c:varyColors val="0"/>
        <c:ser>
          <c:idx val="0"/>
          <c:order val="0"/>
          <c:tx>
            <c:v>X1</c:v>
          </c:tx>
          <c:marker>
            <c:symbol val="none"/>
          </c:marker>
          <c:xVal>
            <c:numRef>
              <c:f>Лист4!$E$6:$AB$6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  <c:pt idx="13">
                  <c:v>9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12</c:v>
                </c:pt>
                <c:pt idx="18">
                  <c:v>12</c:v>
                </c:pt>
                <c:pt idx="19">
                  <c:v>13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</c:numCache>
            </c:numRef>
          </c:xVal>
          <c:yVal>
            <c:numRef>
              <c:f>Лист4!$E$7:$AB$7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0</c:v>
                </c:pt>
                <c:pt idx="13">
                  <c:v>0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0</c:v>
                </c:pt>
                <c:pt idx="19">
                  <c:v>0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359040"/>
        <c:axId val="188360960"/>
      </c:scatterChart>
      <c:valAx>
        <c:axId val="188359040"/>
        <c:scaling>
          <c:orientation val="minMax"/>
          <c:max val="16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мс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4568169102436186"/>
              <c:y val="0.740529914017485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8360960"/>
        <c:crosses val="autoZero"/>
        <c:crossBetween val="midCat"/>
        <c:majorUnit val="1"/>
      </c:valAx>
      <c:valAx>
        <c:axId val="188360960"/>
        <c:scaling>
          <c:orientation val="minMax"/>
          <c:max val="6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3333369787125886E-3"/>
              <c:y val="8.783702514488016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8359040"/>
        <c:crosses val="autoZero"/>
        <c:crossBetween val="midCat"/>
        <c:majorUnit val="5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7905099696019112E-2"/>
          <c:y val="0.19790413607637794"/>
          <c:w val="0.7689559356762623"/>
          <c:h val="0.62445500823391376"/>
        </c:manualLayout>
      </c:layout>
      <c:scatterChart>
        <c:scatterStyle val="lineMarker"/>
        <c:varyColors val="0"/>
        <c:ser>
          <c:idx val="0"/>
          <c:order val="0"/>
          <c:tx>
            <c:v>X2</c:v>
          </c:tx>
          <c:marker>
            <c:symbol val="none"/>
          </c:marker>
          <c:xVal>
            <c:numRef>
              <c:f>Лист4!$E$9:$X$9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14</c:v>
                </c:pt>
                <c:pt idx="18">
                  <c:v>15</c:v>
                </c:pt>
              </c:numCache>
            </c:numRef>
          </c:xVal>
          <c:yVal>
            <c:numRef>
              <c:f>Лист4!$E$10:$X$10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5</c:v>
                </c:pt>
                <c:pt idx="18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401536"/>
        <c:axId val="188411904"/>
      </c:scatterChart>
      <c:valAx>
        <c:axId val="188401536"/>
        <c:scaling>
          <c:orientation val="minMax"/>
          <c:max val="16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500"/>
                </a:pPr>
                <a:r>
                  <a:rPr lang="en-US" sz="1050" b="1" i="0" baseline="0">
                    <a:effectLst/>
                  </a:rPr>
                  <a:t>t, </a:t>
                </a:r>
                <a:r>
                  <a:rPr lang="ru-RU" sz="1050" b="1" i="0" baseline="0">
                    <a:effectLst/>
                  </a:rPr>
                  <a:t>мс</a:t>
                </a:r>
                <a:endParaRPr lang="ru-RU" sz="5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3566790711631977"/>
              <c:y val="0.7581213399295688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8411904"/>
        <c:crosses val="autoZero"/>
        <c:crossBetween val="midCat"/>
        <c:majorUnit val="1"/>
      </c:valAx>
      <c:valAx>
        <c:axId val="188411904"/>
        <c:scaling>
          <c:orientation val="minMax"/>
          <c:max val="6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600"/>
                </a:pPr>
                <a:r>
                  <a:rPr lang="en-US" sz="1100" b="1" i="0" baseline="0">
                    <a:effectLst/>
                  </a:rPr>
                  <a:t>U</a:t>
                </a:r>
                <a:r>
                  <a:rPr lang="ru-RU" sz="1100" b="1" i="0" baseline="0">
                    <a:effectLst/>
                  </a:rPr>
                  <a:t>вх</a:t>
                </a:r>
                <a:r>
                  <a:rPr lang="en-US" sz="1100" b="1" i="0" baseline="0">
                    <a:effectLst/>
                  </a:rPr>
                  <a:t>, </a:t>
                </a:r>
                <a:r>
                  <a:rPr lang="ru-RU" sz="1100" b="1" i="0" baseline="0">
                    <a:effectLst/>
                  </a:rPr>
                  <a:t>В</a:t>
                </a:r>
                <a:endParaRPr lang="ru-RU" sz="600">
                  <a:effectLst/>
                </a:endParaRPr>
              </a:p>
            </c:rich>
          </c:tx>
          <c:layout>
            <c:manualLayout>
              <c:xMode val="edge"/>
              <c:yMode val="edge"/>
              <c:x val="0"/>
              <c:y val="0.126621318495976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8401536"/>
        <c:crosses val="autoZero"/>
        <c:crossBetween val="midCat"/>
        <c:majorUnit val="5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7905099696019112E-2"/>
          <c:y val="0.20272187553346863"/>
          <c:w val="0.78391416619167376"/>
          <c:h val="0.6622507160334592"/>
        </c:manualLayout>
      </c:layout>
      <c:scatterChart>
        <c:scatterStyle val="lineMarker"/>
        <c:varyColors val="0"/>
        <c:ser>
          <c:idx val="0"/>
          <c:order val="0"/>
          <c:tx>
            <c:v>Y</c:v>
          </c:tx>
          <c:marker>
            <c:symbol val="none"/>
          </c:marker>
          <c:xVal>
            <c:numRef>
              <c:f>Лист4!$E$14:$Y$14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9</c:v>
                </c:pt>
                <c:pt idx="12">
                  <c:v>9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</c:numCache>
            </c:numRef>
          </c:xVal>
          <c:yVal>
            <c:numRef>
              <c:f>Лист4!$E$15:$Y$15</c:f>
              <c:numCache>
                <c:formatCode>General</c:formatCode>
                <c:ptCount val="21"/>
                <c:pt idx="0">
                  <c:v>5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</c:v>
                </c:pt>
                <c:pt idx="11">
                  <c:v>5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</c:v>
                </c:pt>
                <c:pt idx="17">
                  <c:v>5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218816"/>
        <c:axId val="191220736"/>
      </c:scatterChart>
      <c:valAx>
        <c:axId val="191218816"/>
        <c:scaling>
          <c:orientation val="minMax"/>
          <c:max val="16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600"/>
                </a:pPr>
                <a:r>
                  <a:rPr lang="en-US" sz="1100" b="1" i="0" baseline="0">
                    <a:effectLst/>
                  </a:rPr>
                  <a:t>t, </a:t>
                </a:r>
                <a:r>
                  <a:rPr lang="ru-RU" sz="1100" b="1" i="0" baseline="0">
                    <a:effectLst/>
                  </a:rPr>
                  <a:t>мс</a:t>
                </a:r>
                <a:endParaRPr lang="ru-RU" sz="6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5636236061345605"/>
              <c:y val="0.8122254888943685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91220736"/>
        <c:crosses val="autoZero"/>
        <c:crossBetween val="midCat"/>
        <c:majorUnit val="1"/>
      </c:valAx>
      <c:valAx>
        <c:axId val="191220736"/>
        <c:scaling>
          <c:orientation val="minMax"/>
          <c:max val="6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3888894964520981E-2"/>
              <c:y val="0.10697672654160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91218816"/>
        <c:crosses val="autoZero"/>
        <c:crossBetween val="midCat"/>
        <c:majorUnit val="5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EFC60-8DB5-493B-A971-85BB8345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9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225</cp:revision>
  <dcterms:created xsi:type="dcterms:W3CDTF">2018-03-31T04:25:00Z</dcterms:created>
  <dcterms:modified xsi:type="dcterms:W3CDTF">2018-05-12T00:18:00Z</dcterms:modified>
</cp:coreProperties>
</file>