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前端技术架构与工程</w:t>
      </w:r>
    </w:p>
    <w:p w:rsidR="00A77B3E">
      <w:pPr>
        <w:rPr>
          <w:rFonts w:ascii="Arial" w:eastAsia="Arial" w:hAnsi="Arial" w:cs="Arial"/>
          <w:b/>
          <w:color w:val="000000"/>
          <w:sz w:val="32"/>
        </w:rPr>
      </w:pP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前端架构师的职责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工程服务体系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开发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808080"/>
          <w:sz w:val="20"/>
        </w:rPr>
      </w:pPr>
      <w:r>
        <w:rPr>
          <w:rFonts w:ascii="Arial" w:eastAsia="Arial" w:hAnsi="Arial" w:cs="Arial"/>
          <w:b w:val="0"/>
          <w:color w:val="808080"/>
          <w:sz w:val="20"/>
        </w:rPr>
        <w:t>1.减少重复性劳动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808080"/>
          <w:sz w:val="20"/>
        </w:rPr>
      </w:pPr>
      <w:r>
        <w:rPr>
          <w:rFonts w:ascii="Arial" w:eastAsia="Arial" w:hAnsi="Arial" w:cs="Arial"/>
          <w:b w:val="0"/>
          <w:color w:val="808080"/>
          <w:sz w:val="20"/>
        </w:rPr>
        <w:t>2.建立规范的代码版本管理规范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808080"/>
          <w:sz w:val="20"/>
        </w:rPr>
      </w:pPr>
      <w:r>
        <w:rPr>
          <w:rFonts w:ascii="Arial" w:eastAsia="Arial" w:hAnsi="Arial" w:cs="Arial"/>
          <w:b w:val="0"/>
          <w:color w:val="808080"/>
          <w:sz w:val="20"/>
        </w:rPr>
        <w:t>3.辅助跨团队并行开发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808080"/>
          <w:sz w:val="20"/>
        </w:rPr>
      </w:pPr>
    </w:p>
    <w:p>
      <w:pPr>
        <w:numPr>
          <w:ilvl w:val="2"/>
          <w:numId w:val="1"/>
        </w:numPr>
        <w:jc w:val="left"/>
      </w:pPr>
      <w:r>
        <w:t>构建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color w:val="808080"/>
          <w:sz w:val="20"/>
        </w:rPr>
      </w:pPr>
      <w:r>
        <w:rPr>
          <w:rFonts w:ascii="Arial" w:eastAsia="Arial" w:hAnsi="Arial" w:cs="Arial"/>
          <w:color w:val="808080"/>
          <w:sz w:val="20"/>
        </w:rPr>
        <w:t>编程语言、性能优化、部署策略、开发效率、审查评估</w:t>
      </w:r>
    </w:p>
    <w:p>
      <w:pPr>
        <w:numPr>
          <w:ilvl w:val="2"/>
          <w:numId w:val="1"/>
        </w:numPr>
        <w:jc w:val="left"/>
      </w:pPr>
      <w:r>
        <w:t>测试</w:t>
      </w:r>
    </w:p>
    <w:p>
      <w:pPr>
        <w:numPr>
          <w:ilvl w:val="2"/>
          <w:numId w:val="1"/>
        </w:numPr>
        <w:jc w:val="left"/>
      </w:pPr>
      <w:r>
        <w:t>部署</w:t>
      </w:r>
    </w:p>
    <w:p>
      <w:pPr>
        <w:numPr>
          <w:ilvl w:val="2"/>
          <w:numId w:val="1"/>
        </w:numPr>
        <w:jc w:val="left"/>
      </w:pPr>
      <w:r>
        <w:t>持续化</w:t>
      </w:r>
    </w:p>
    <w:p>
      <w:pPr>
        <w:numPr>
          <w:ilvl w:val="2"/>
          <w:numId w:val="1"/>
        </w:numPr>
        <w:jc w:val="left"/>
      </w:pPr>
      <w:r>
        <w:t>监控与统计</w:t>
      </w:r>
    </w:p>
    <w:p>
      <w:pPr>
        <w:numPr>
          <w:ilvl w:val="1"/>
          <w:numId w:val="1"/>
        </w:numPr>
        <w:jc w:val="left"/>
      </w:pPr>
      <w:r>
        <w:t>技术架构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技术规范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808080"/>
          <w:sz w:val="20"/>
        </w:rPr>
      </w:pPr>
      <w:r>
        <w:rPr>
          <w:rFonts w:ascii="Arial" w:eastAsia="Arial" w:hAnsi="Arial" w:cs="Arial"/>
          <w:b w:val="0"/>
          <w:color w:val="808080"/>
          <w:sz w:val="20"/>
        </w:rPr>
        <w:t>包括编码规范、项目源码的组织架构、依赖管理、第三方技术选型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808080"/>
          <w:sz w:val="20"/>
        </w:rPr>
      </w:pPr>
    </w:p>
    <w:p>
      <w:pPr>
        <w:numPr>
          <w:ilvl w:val="2"/>
          <w:numId w:val="1"/>
        </w:numPr>
        <w:jc w:val="left"/>
      </w:pPr>
      <w:r>
        <w:t>组件化/工程化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color w:val="808080"/>
          <w:sz w:val="20"/>
        </w:rPr>
      </w:pPr>
      <w:r>
        <w:rPr>
          <w:rFonts w:ascii="Arial" w:eastAsia="Arial" w:hAnsi="Arial" w:cs="Arial"/>
          <w:color w:val="808080"/>
          <w:sz w:val="20"/>
        </w:rPr>
        <w:t>基础组件、业务组件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color w:val="808080"/>
          <w:sz w:val="20"/>
        </w:rPr>
      </w:pPr>
    </w:p>
    <w:p>
      <w:pPr>
        <w:numPr>
          <w:ilvl w:val="2"/>
          <w:numId w:val="1"/>
        </w:numPr>
        <w:jc w:val="left"/>
      </w:pPr>
      <w:r>
        <w:t>前后端分离</w:t>
      </w:r>
    </w:p>
    <w:p>
      <w:pPr>
        <w:numPr>
          <w:ilvl w:val="2"/>
          <w:numId w:val="1"/>
        </w:numPr>
        <w:jc w:val="left"/>
      </w:pPr>
      <w:r>
        <w:t>性能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color w:val="808080"/>
          <w:sz w:val="20"/>
        </w:rPr>
      </w:pPr>
      <w:r>
        <w:rPr>
          <w:rFonts w:ascii="Arial" w:eastAsia="Arial" w:hAnsi="Arial" w:cs="Arial"/>
          <w:color w:val="808080"/>
          <w:sz w:val="20"/>
        </w:rPr>
        <w:t>评估应用程序高可用性最重要的指标。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color w:val="808080"/>
          <w:sz w:val="20"/>
        </w:rPr>
      </w:pPr>
      <w:r>
        <w:rPr>
          <w:rFonts w:ascii="Arial" w:eastAsia="Arial" w:hAnsi="Arial" w:cs="Arial"/>
          <w:color w:val="808080"/>
          <w:sz w:val="20"/>
        </w:rPr>
        <w:t>用户：首屏加载时间、操作响应速度。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color w:val="808080"/>
          <w:sz w:val="20"/>
        </w:rPr>
      </w:pPr>
      <w:r>
        <w:rPr>
          <w:rFonts w:ascii="Arial" w:eastAsia="Arial" w:hAnsi="Arial" w:cs="Arial"/>
          <w:color w:val="808080"/>
          <w:sz w:val="20"/>
        </w:rPr>
        <w:t>加载性能：</w:t>
      </w:r>
    </w:p>
    <w:p>
      <w:pPr>
        <w:numPr>
          <w:ilvl w:val="0"/>
          <w:numId w:val="1"/>
        </w:numPr>
        <w:jc w:val="left"/>
      </w:pPr>
      <w:r>
        <w:t>技术规范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资源管理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目录结构</w:t>
      </w:r>
    </w:p>
    <w:p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源码文件</w:t>
      </w:r>
    </w:p>
    <w:p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按组件归类前端资源</w:t>
      </w:r>
    </w:p>
    <w:p>
      <w:pPr>
        <w:numPr>
          <w:ilvl w:val="5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业务资源目录命名语义化，并且首字母大写</w:t>
      </w:r>
    </w:p>
    <w:p>
      <w:pPr>
        <w:numPr>
          <w:ilvl w:val="5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公共组件同一存放在二级目录 components内，并且按组件归类源码文件</w:t>
      </w:r>
    </w:p>
    <w:p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构建产出文件</w:t>
      </w:r>
    </w:p>
    <w:p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第三方框架/工具</w:t>
      </w:r>
    </w:p>
    <w:p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工程配置文件</w:t>
      </w:r>
    </w:p>
    <w:p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单元测试文件</w:t>
      </w:r>
    </w:p>
    <w:p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媒体资源文件(图片/视频)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命名规范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808080"/>
          <w:sz w:val="20"/>
        </w:rPr>
      </w:pPr>
      <w:r>
        <w:rPr>
          <w:rFonts w:ascii="Arial" w:eastAsia="Arial" w:hAnsi="Arial" w:cs="Arial"/>
          <w:b w:val="0"/>
          <w:color w:val="808080"/>
          <w:sz w:val="20"/>
        </w:rPr>
        <w:t>遵循语义性和一致性</w:t>
      </w:r>
    </w:p>
    <w:p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强化文件名称的语义性</w:t>
      </w:r>
    </w:p>
    <w:p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命名格式统一（驼峰式）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编码风格</w:t>
      </w:r>
    </w:p>
    <w:p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统一</w:t>
      </w:r>
    </w:p>
    <w:p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语义</w:t>
      </w:r>
    </w:p>
    <w:p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808080"/>
          <w:sz w:val="20"/>
        </w:rPr>
      </w:pPr>
      <w:r>
        <w:rPr>
          <w:rFonts w:ascii="Arial" w:eastAsia="Arial" w:hAnsi="Arial" w:cs="Arial"/>
          <w:b w:val="0"/>
          <w:color w:val="808080"/>
          <w:sz w:val="20"/>
        </w:rPr>
        <w:t>变量、类、函数命名语义化</w:t>
      </w:r>
    </w:p>
    <w:p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808080"/>
          <w:sz w:val="20"/>
        </w:rPr>
      </w:pPr>
    </w:p>
    <w:p>
      <w:pPr>
        <w:numPr>
          <w:ilvl w:val="3"/>
          <w:numId w:val="1"/>
        </w:numPr>
        <w:jc w:val="left"/>
      </w:pPr>
      <w:r>
        <w:t>注释</w:t>
      </w:r>
    </w:p>
    <w:p>
      <w:pPr>
        <w:numPr>
          <w:ilvl w:val="3"/>
          <w:numId w:val="1"/>
        </w:numPr>
        <w:jc w:val="left"/>
        <w:rPr>
          <w:rFonts w:ascii="Arial" w:eastAsia="Arial" w:hAnsi="Arial" w:cs="Arial"/>
          <w:color w:val="808080"/>
          <w:sz w:val="20"/>
        </w:rPr>
      </w:pPr>
      <w:r>
        <w:rPr>
          <w:rFonts w:ascii="Arial" w:eastAsia="Arial" w:hAnsi="Arial" w:cs="Arial"/>
          <w:color w:val="808080"/>
          <w:sz w:val="20"/>
        </w:rPr>
        <w:t>例如 翻译的英文过长时，通常情况下区他的前几个英文字母，比如将calculate简化为calc</w:t>
      </w:r>
    </w:p>
    <w:p>
      <w:pPr>
        <w:numPr>
          <w:ilvl w:val="3"/>
          <w:numId w:val="1"/>
        </w:numPr>
        <w:jc w:val="left"/>
        <w:rPr>
          <w:rFonts w:ascii="Arial" w:eastAsia="Arial" w:hAnsi="Arial" w:cs="Arial"/>
          <w:color w:val="808080"/>
          <w:sz w:val="20"/>
        </w:rPr>
      </w:pPr>
    </w:p>
    <w:p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对代码的元素进行说明。例如函数的参数和返回类型</w:t>
      </w:r>
    </w:p>
    <w:p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自然语言进行描述，注释不易过长</w:t>
      </w:r>
    </w:p>
    <w:p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808080"/>
          <w:sz w:val="20"/>
        </w:rPr>
      </w:pPr>
      <w:r>
        <w:rPr>
          <w:rFonts w:ascii="Arial" w:eastAsia="Arial" w:hAnsi="Arial" w:cs="Arial"/>
          <w:b w:val="0"/>
          <w:color w:val="808080"/>
          <w:sz w:val="20"/>
        </w:rPr>
        <w:t>例如 翻译的英文过长时，通常情况下区他的前几个英文字母，比如将calculate简化为calc</w:t>
      </w:r>
    </w:p>
    <w:p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808080"/>
          <w:sz w:val="20"/>
        </w:rPr>
      </w:pPr>
    </w:p>
    <w:p>
      <w:pPr>
        <w:numPr>
          <w:ilvl w:val="3"/>
          <w:numId w:val="1"/>
        </w:numPr>
        <w:jc w:val="left"/>
      </w:pPr>
      <w:r>
        <w:t>美观</w:t>
      </w:r>
    </w:p>
    <w:p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缩进方式、句尾分号、花括号的位置等</w:t>
      </w:r>
    </w:p>
    <w:p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CSS编程范式与面向对象</w:t>
      </w:r>
    </w:p>
    <w:p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OOCSS（面向对象的CSS）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修订日期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修改人/审核人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修改历史内容</w:t>
      </w:r>
    </w:p>
    <w:p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背景/产品简介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产品定义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产品特色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用户需求</w:t>
      </w:r>
    </w:p>
    <w:p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产品架构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产品结构图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信息结构图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总体流程图</w:t>
      </w:r>
    </w:p>
    <w:p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详细功能说明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功能列表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原型界面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数据库结构图</w:t>
      </w:r>
    </w:p>
    <w:p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非功能需求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性能需求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系统需求</w:t>
      </w:r>
    </w:p>
    <w:p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项目规划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时间规划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版本规划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成本预算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风险规划</w:t>
      </w:r>
    </w:p>
    <w:p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附录</w:t>
      </w:r>
    </w:p>
    <w:p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原型/UI文档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链接</w:t>
      </w:r>
    </w:p>
    <w:p>
      <w:pPr>
        <w:numPr>
          <w:ilvl w:val="1"/>
          <w:numId w:val="1"/>
        </w:numPr>
        <w:jc w:val="left"/>
      </w:pPr>
      <w:r>
        <w:rPr>
          <w:rFonts w:ascii="Arial" w:eastAsia="Arial" w:hAnsi="Arial" w:cs="Arial"/>
          <w:b w:val="0"/>
          <w:color w:val="0000FF"/>
          <w:sz w:val="20"/>
        </w:rPr>
        <w:fldChar w:fldCharType="begin"/>
      </w:r>
      <w:r>
        <w:rPr>
          <w:rFonts w:ascii="Arial" w:eastAsia="Arial" w:hAnsi="Arial" w:cs="Arial"/>
          <w:b w:val="0"/>
          <w:color w:val="0000FF"/>
          <w:sz w:val="20"/>
        </w:rPr>
        <w:instrText xml:space="preserve"> HYPERLINK "http://www.baidu.com" </w:instrText>
      </w:r>
      <w:r>
        <w:rPr>
          <w:rFonts w:ascii="Arial" w:eastAsia="Arial" w:hAnsi="Arial" w:cs="Arial"/>
          <w:b w:val="0"/>
          <w:color w:val="0000FF"/>
          <w:sz w:val="20"/>
        </w:rPr>
        <w:fldChar w:fldCharType="separate"/>
      </w:r>
      <w:r>
        <w:rPr>
          <w:rFonts w:ascii="Arial" w:eastAsia="Arial" w:hAnsi="Arial" w:cs="Arial"/>
          <w:b w:val="0"/>
          <w:color w:val="0000FF"/>
          <w:sz w:val="20"/>
        </w:rPr>
        <w:t xml:space="preserve">超链接  </w:t>
      </w:r>
      <w:r>
        <w:rPr>
          <w:rFonts w:ascii="Arial" w:eastAsia="Arial" w:hAnsi="Arial" w:cs="Arial"/>
          <w:b w:val="0"/>
          <w:color w:val="0000FF"/>
          <w:sz w:val="20"/>
        </w:rPr>
        <w:fldChar w:fldCharType="end"/>
      </w:r>
      <w:r>
        <w:t>技术文档</w:t>
      </w:r>
    </w:p>
    <w:p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附件</w:t>
      </w:r>
    </w:p>
    <w:p>
      <w:pPr>
        <w:numPr>
          <w:ilvl w:val="1"/>
          <w:numId w:val="1"/>
        </w:numPr>
        <w:jc w:val="left"/>
      </w:pPr>
      <w:r>
        <w:rPr>
          <w:rFonts w:ascii="Arial" w:eastAsia="Arial" w:hAnsi="Arial" w:cs="Arial"/>
          <w:b w:val="0"/>
          <w:color w:val="0000FF"/>
          <w:sz w:val="20"/>
        </w:rPr>
        <w:fldChar w:fldCharType="begin"/>
      </w:r>
      <w:r>
        <w:rPr>
          <w:rFonts w:ascii="Arial" w:eastAsia="Arial" w:hAnsi="Arial" w:cs="Arial"/>
          <w:b w:val="0"/>
          <w:color w:val="0000FF"/>
          <w:sz w:val="20"/>
        </w:rPr>
        <w:instrText xml:space="preserve"> HYPERLINK "https://po-files.ks3-cn-beijing.ksyun.com/5e33f353e4b04579e40f44b7_8f92f82f7aaa.png" </w:instrText>
      </w:r>
      <w:r>
        <w:rPr>
          <w:rFonts w:ascii="Arial" w:eastAsia="Arial" w:hAnsi="Arial" w:cs="Arial"/>
          <w:b w:val="0"/>
          <w:color w:val="0000FF"/>
          <w:sz w:val="20"/>
        </w:rPr>
        <w:fldChar w:fldCharType="separate"/>
      </w:r>
      <w:r>
        <w:rPr>
          <w:rFonts w:ascii="Arial" w:eastAsia="Arial" w:hAnsi="Arial" w:cs="Arial"/>
          <w:b w:val="0"/>
          <w:color w:val="0000FF"/>
          <w:sz w:val="20"/>
        </w:rPr>
        <w:t xml:space="preserve">1.支持多种在线做图工具.png </w:t>
      </w:r>
      <w:r>
        <w:rPr>
          <w:rFonts w:ascii="Arial" w:eastAsia="Arial" w:hAnsi="Arial" w:cs="Arial"/>
          <w:b w:val="0"/>
          <w:color w:val="0000FF"/>
          <w:sz w:val="20"/>
        </w:rPr>
        <w:fldChar w:fldCharType="end"/>
      </w:r>
      <w:r>
        <w:t>专业术语</w:t>
      </w:r>
    </w:p>
    <w:p>
      <w:pPr>
        <w:numPr>
          <w:ilvl w:val="0"/>
          <w:numId w:val="1"/>
        </w:numPr>
        <w:jc w:val="left"/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