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oter+xml" PartName="/footer1"/>
  <Override ContentType="application/vnd.openxmlformats-officedocument.wordprocessingml.header+xml" PartName="/header1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body>
    <w:p>
      <w:r>
        <w:drawing>
          <wp:anchor distT="0" distB="0" distL="0" distR="0" simplePos="false" relativeHeight="0" behindDoc="false" locked="false" layoutInCell="false" allowOverlap="fals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00000" cy="1200000"/>
            <wp:effectExtent l="0" t="0" r="0" b="0"/>
            <wp:wrapSquare wrapText="bothSides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link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auto" w:sz="4" w:space="0"/>
        </w:pBdr>
        <w:spacing w:line="220" w:lineRule="auto"/>
        <w:jc w:val="left"/>
      </w:pPr>
      <w:r>
        <w:rPr>
          <w:rFonts w:ascii="U001TLig" w:hAnsi="U001TLig"/>
          <w:sz w:val="12"/>
        </w:rPr>
        <w:t>Anlage Nr.</w:t>
      </w:r>
    </w:p>
    <w:p>
      <w:pPr>
        <w:pBdr>
          <w:top w:val="single" w:color="auto" w:sz="4" w:space="0"/>
        </w:pBdr>
        <w:spacing w:line="220" w:lineRule="auto"/>
        <w:jc w:val="left"/>
      </w:pPr>
      <w:r>
        <w:rPr>
          <w:rFonts w:ascii="U001TLig" w:hAnsi="U001TLig"/>
          <w:sz w:val="12"/>
        </w:rPr>
        <w:t>zum Vertrag vom</w:t>
      </w:r>
    </w:p>
    <w:p>
      <w:pPr>
        <w:spacing w:line="220" w:lineRule="auto"/>
        <w:jc w:val="left"/>
      </w:pPr>
      <w:r>
        <w:rPr>
          <w:rFonts w:ascii="U001TLig" w:hAnsi="U001TLig"/>
          <w:sz w:val="22"/>
        </w:rPr>
        <w:t>10.08.2011</w:t>
      </w:r>
    </w:p>
    <w:p>
      <w:pPr>
        <w:pBdr>
          <w:top w:val="single" w:color="auto" w:sz="4" w:space="0"/>
        </w:pBdr>
        <w:spacing w:line="220" w:lineRule="auto"/>
        <w:jc w:val="left"/>
      </w:pPr>
      <w:r>
        <w:rPr>
          <w:rFonts w:ascii="U001TLig" w:hAnsi="U001TLig"/>
          <w:sz w:val="12"/>
        </w:rPr>
        <w:t>mit</w:t>
      </w:r>
    </w:p>
    <w:p>
      <w:pPr>
        <w:spacing w:line="220" w:lineRule="auto"/>
        <w:jc w:val="left"/>
      </w:pPr>
      <w:r>
        <w:rPr>
          <w:rFonts w:ascii="U001TLig" w:hAnsi="U001TLig"/>
          <w:sz w:val="22"/>
        </w:rPr>
        <w:t/>
      </w:r>
      <w:r>
        <w:rPr>
          <w:rFonts w:ascii="U001TLig" w:hAnsi="U001TLig"/>
          <w:b/>
          <w:i/>
          <w:sz w:val="22"/>
        </w:rPr>
        <w:t>Deutsche Bank Privat- und Geschäftskunden AG</w:t>
      </w:r>
    </w:p>
    <w:p>
      <w:pPr>
        <w:spacing w:line="220" w:lineRule="auto"/>
        <w:jc w:val="left"/>
      </w:pPr>
      <w:r>
        <w:rPr>
          <w:rFonts w:ascii="U001TLig" w:hAnsi="U001TLig"/>
          <w:sz w:val="32"/>
        </w:rPr>
        <w:t/>
      </w:r>
      <w:r>
        <w:rPr>
          <w:rFonts w:ascii="U001TLig" w:hAnsi="U001TLig"/>
          <w:b/>
          <w:i/>
          <w:sz w:val="32"/>
          <w:u w:val="single"/>
        </w:rPr>
        <w:t>LV-Bewertungsbestimmungen</w:t>
      </w:r>
    </w:p>
    <w:tbl>
      <w:tblPr>
        <w:tblStyle w:val="TableGrid"/>
        <w:tblW w:w="0"/>
      </w:tblPr>
      <w:tblGrid>
        <w:gridCol w:w="800"/>
        <w:gridCol w:w="2800"/>
        <w:gridCol w:w="1000"/>
        <w:gridCol w:w="1100"/>
        <w:gridCol w:w="1200"/>
        <w:gridCol w:w="1100"/>
      </w:tblGrid>
      <w:tr>
        <w:trPr>
          <w:tblHeader/>
        </w:trPr>
        <w:tc>
          <w:tcPr>
            <w:tcW w:w="800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" w:lineRule="auto"/>
              <w:jc w:val="left"/>
            </w:pPr>
            <w:r>
              <w:rPr>
                <w:rFonts w:ascii="Calibri" w:hAnsi="Calibri"/>
                <w:sz w:val="24"/>
              </w:rPr>
              <w:t/>
            </w:r>
            <w:r>
              <w:rPr>
                <w:rFonts w:ascii="Calibri" w:hAnsi="Calibri"/>
                <w:b/>
                <w:sz w:val="24"/>
              </w:rPr>
              <w:t>Bewertungstabelle</w:t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0"/>
              </w:rPr>
              <w:t>(Die Provision wird errechnet aus der gewichteten Beitragssumme und dem Rabattfaktor) (Gültig für die DB PGK AG und die Berliner Bank. Auf Präfixe in den Produktnamen wird verzichtet.)</w:t>
            </w:r>
          </w:p>
        </w:tc>
      </w:tr>
      <w:tr>
        <w:trPr>
          <w:tblHeader/>
        </w:trPr>
        <w:tc>
          <w:tcPr>
            <w:tcW w:w="800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4"/>
              </w:rPr>
              <w:t/>
            </w:r>
            <w:r>
              <w:rPr>
                <w:rFonts w:ascii="U001TLig" w:hAnsi="U001TLig"/>
                <w:b/>
                <w:sz w:val="24"/>
              </w:rPr>
              <w:t>Tarif-Nr.</w:t>
            </w:r>
          </w:p>
        </w:tc>
        <w:tc>
          <w:tcPr>
            <w:tcW w:w="2800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4"/>
              </w:rPr>
              <w:t/>
            </w:r>
            <w:r>
              <w:rPr>
                <w:rFonts w:ascii="U001TLig" w:hAnsi="U001TLig"/>
                <w:b/>
                <w:sz w:val="24"/>
              </w:rPr>
              <w:t>Produktname</w:t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2"/>
              </w:rPr>
              <w:t>(Versicherungsart)</w:t>
            </w:r>
          </w:p>
        </w:tc>
        <w:tc>
          <w:tcPr>
            <w:tcW w:w="1000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4"/>
              </w:rPr>
              <w:t/>
            </w:r>
            <w:r>
              <w:rPr>
                <w:rFonts w:ascii="U001TLig" w:hAnsi="U001TLig"/>
                <w:b/>
                <w:sz w:val="14"/>
              </w:rPr>
              <w:t>Die Summe der während der Laufzeit zu zahlenden Beiträge (Zahlbeitragssumme), multipliziert mit dem Laufzeitfaktor (LZF), ergibt die gewichtete Beitragssumme.</w:t>
            </w:r>
          </w:p>
        </w:tc>
      </w:tr>
      <w:tr>
        <w:trPr>
          <w:tblHeader/>
        </w:trPr>
        <w:tc>
          <w:tcPr>
            <w:tcW w:w="8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28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18"/>
              </w:rPr>
              <w:t/>
            </w:r>
            <w:r>
              <w:rPr>
                <w:rFonts w:ascii="U001TLig" w:hAnsi="U001TLig"/>
                <w:b/>
                <w:sz w:val="18"/>
              </w:rPr>
              <w:t>Rabatt-Faktor</w:t>
            </w:r>
          </w:p>
        </w:tc>
        <w:tc>
          <w:tcPr>
            <w:tcW w:w="11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18"/>
              </w:rPr>
              <w:t/>
            </w:r>
            <w:r>
              <w:rPr>
                <w:rFonts w:ascii="U001TLig" w:hAnsi="U001TLig"/>
                <w:b/>
                <w:sz w:val="18"/>
              </w:rPr>
              <w:t>Kostenschieber A</w:t>
            </w:r>
          </w:p>
        </w:tc>
        <w:tc>
          <w:tcPr>
            <w:tcW w:w="12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18"/>
              </w:rPr>
              <w:t/>
            </w:r>
            <w:r>
              <w:rPr>
                <w:rFonts w:ascii="U001TLig" w:hAnsi="U001TLig"/>
                <w:b/>
                <w:sz w:val="18"/>
              </w:rPr>
              <w:t>Laufzeit in Jahren</w:t>
            </w:r>
          </w:p>
        </w:tc>
        <w:tc>
          <w:tcPr>
            <w:tcW w:w="11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18"/>
              </w:rPr>
              <w:t/>
            </w:r>
            <w:r>
              <w:rPr>
                <w:rFonts w:ascii="U001TLig" w:hAnsi="U001TLig"/>
                <w:b/>
                <w:sz w:val="18"/>
              </w:rPr>
              <w:t>Laufzeitfaktor LZF</w:t>
            </w:r>
          </w:p>
        </w:tc>
      </w:tr>
      <w:tr>
        <w:tc>
          <w:tcPr>
            <w:tcW w:w="8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P3001E</w:t>
            </w:r>
          </w:p>
        </w:tc>
        <w:tc>
          <w:tcPr>
            <w:tcW w:w="28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4"/>
              </w:rPr>
              <w:t/>
            </w:r>
            <w:r>
              <w:rPr>
                <w:rFonts w:ascii="U001TLig" w:hAnsi="U001TLig"/>
                <w:b/>
                <w:sz w:val="24"/>
              </w:rPr>
              <w:t>Anspar-Rente</w:t>
            </w:r>
            <w:r>
              <w:cr/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gegen laufende Beitragsnachzahlung</w:t>
            </w:r>
            <w:r>
              <w:cr/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Einzelvertrag</w:t>
            </w:r>
            <w:r>
              <w:cr/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als Kollektivversicherung Gruppe</w:t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1,000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nil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1</w:t>
            </w:r>
          </w:p>
        </w:tc>
        <w:tc>
          <w:tcPr>
            <w:tcW w:w="1200"/>
            <w:vMerge w:val="restart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1-11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12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13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14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15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16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17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18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19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20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21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22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23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24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25-35</w:t>
            </w:r>
          </w:p>
        </w:tc>
        <w:tc>
          <w:tcPr>
            <w:tcW w:w="1100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0,86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0,87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0,88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0,89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0,91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0,92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0,93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0,94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0,95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0,96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0,97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0,98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0,99</w:t>
            </w:r>
          </w:p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  <w:r>
              <w:rPr>
                <w:rFonts w:ascii="U001TLig" w:hAnsi="U001TLig"/>
                <w:b/>
                <w:sz w:val="20"/>
              </w:rPr>
              <w:t>1,00</w:t>
            </w:r>
          </w:p>
        </w:tc>
      </w:tr>
      <w:tr>
        <w:tc>
          <w:tcPr>
            <w:tcW w:w="80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P300E</w:t>
            </w:r>
          </w:p>
        </w:tc>
        <w:tc>
          <w:tcPr>
            <w:tcW w:w="280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Spezial-Tarif</w:t>
            </w:r>
            <w:r>
              <w:cr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1,000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nil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0,5</w:t>
            </w:r>
          </w:p>
        </w:tc>
        <w:tc>
          <w:tcPr>
            <w:tcW w:w="12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1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</w:tr>
      <w:tr>
        <w:tc>
          <w:tcPr>
            <w:tcW w:w="80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P300E</w:t>
            </w:r>
          </w:p>
        </w:tc>
        <w:tc>
          <w:tcPr>
            <w:tcW w:w="280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4"/>
              </w:rPr>
              <w:t/>
            </w:r>
            <w:r>
              <w:rPr>
                <w:rFonts w:ascii="U001TLig" w:hAnsi="U001TLig"/>
                <w:b/>
                <w:sz w:val="24"/>
              </w:rPr>
              <w:t>Zukunftsrente</w:t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gegen Einmalbetrag*</w:t>
            </w:r>
            <w:r>
              <w:cr/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Einzelvertrag</w:t>
            </w:r>
            <w:r>
              <w:cr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0,900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nil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1</w:t>
            </w:r>
          </w:p>
        </w:tc>
        <w:tc>
          <w:tcPr>
            <w:tcW w:w="12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1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</w:tr>
      <w:tr>
        <w:tc>
          <w:tcPr>
            <w:tcW w:w="80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P3011E</w:t>
            </w:r>
          </w:p>
        </w:tc>
        <w:tc>
          <w:tcPr>
            <w:tcW w:w="280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Spezial-Tarif</w:t>
            </w:r>
            <w:r>
              <w:cr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0,900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nil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0,5</w:t>
            </w:r>
          </w:p>
        </w:tc>
        <w:tc>
          <w:tcPr>
            <w:tcW w:w="12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1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</w:tr>
      <w:tr>
        <w:tc>
          <w:tcPr>
            <w:tcW w:w="80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P3021E</w:t>
            </w:r>
          </w:p>
        </w:tc>
        <w:tc>
          <w:tcPr>
            <w:tcW w:w="280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24"/>
              </w:rPr>
              <w:t/>
            </w:r>
            <w:r>
              <w:rPr>
                <w:rFonts w:ascii="U001TLig" w:hAnsi="U001TLig"/>
                <w:b/>
                <w:sz w:val="24"/>
              </w:rPr>
              <w:t>Sofortrente</w:t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gegen Einmalbetrag*</w:t>
            </w:r>
            <w:r>
              <w:cr/>
            </w:r>
          </w:p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Einzelvertrag</w:t>
            </w:r>
            <w:r>
              <w:cr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0,900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nil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1</w:t>
            </w:r>
          </w:p>
        </w:tc>
        <w:tc>
          <w:tcPr>
            <w:tcW w:w="12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1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</w:tr>
      <w:tr>
        <w:tc>
          <w:tcPr>
            <w:tcW w:w="800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P3021E</w:t>
            </w:r>
          </w:p>
        </w:tc>
        <w:tc>
          <w:tcPr>
            <w:tcW w:w="2800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20" w:lineRule="auto"/>
              <w:jc w:val="left"/>
            </w:pPr>
            <w:r>
              <w:rPr>
                <w:rFonts w:ascii="U001TLig" w:hAnsi="U001TLig"/>
                <w:sz w:val="17"/>
              </w:rPr>
              <w:t>Spezial-Tarif</w:t>
            </w:r>
            <w:r>
              <w:cr/>
            </w:r>
          </w:p>
        </w:tc>
        <w:tc>
          <w:tcPr>
            <w:tcW w:w="100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0,900</w:t>
            </w:r>
          </w:p>
        </w:tc>
        <w:tc>
          <w:tcPr>
            <w:tcW w:w="1100"/>
            <w:tcBorders>
              <w:top w:val="nil" w:color="auto" w:sz="4" w:space="0"/>
              <w:left w:val="nil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>0,5</w:t>
            </w:r>
          </w:p>
        </w:tc>
        <w:tc>
          <w:tcPr>
            <w:tcW w:w="12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  <w:tc>
          <w:tcPr>
            <w:tcW w:w="1100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/>
            <w:vAlign w:val="center"/>
          </w:tcPr>
          <w:p>
            <w:pPr>
              <w:spacing w:line="220" w:lineRule="auto"/>
              <w:jc w:val="center"/>
            </w:pPr>
            <w:r>
              <w:rPr>
                <w:rFonts w:ascii="U001TLig" w:hAnsi="U001TLig"/>
                <w:sz w:val="20"/>
              </w:rPr>
              <w:t/>
            </w:r>
          </w:p>
        </w:tc>
      </w:tr>
    </w:tbl>
    <w:p>
      <w:pPr>
        <w:spacing w:line="220" w:lineRule="auto"/>
        <w:jc w:val="left"/>
      </w:pPr>
      <w:r>
        <w:rPr>
          <w:rFonts w:ascii="U001TLig" w:hAnsi="U001TLig"/>
          <w:sz w:val="18"/>
        </w:rPr>
        <w:t>Achtung: Bei der Kapital-- und Rentenversicherung gegen laufende Beitragszahlung kommt bei einer abgekürzten Beitragszahlungsdauer zusätzlich ein weiterer Faktor zur Anwendung. Faktorermittlung: beitragsfreie Jahre x 0,022 + 1,0. Bei beitragsfreien Jahren ab 30 Jahren lautet der Faktor immer 1,66.</w:t>
      </w:r>
    </w:p>
    <w:p>
      <w:pPr>
        <w:pBdr>
          <w:bottom w:val="single" w:color="auto" w:sz="4" w:space="0"/>
        </w:pBdr>
      </w:pPr>
    </w:p>
    <w:sectPr>
      <w:headerReference w:type="default" r:id="rId5"/>
      <w:footerReference w:type="first" r:id="rId6"/>
      <w:titlePg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../header1" Type="http://schemas.openxmlformats.org/officeDocument/2006/relationships/header" Id="rId5"/>
    <Relationship Target="../footer1" Type="http://schemas.openxmlformats.org/officeDocument/2006/relationships/footer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