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Engineering Applications of Artificial Intelligence</w:t>
      </w:r>
    </w:p>
    <w:p>
      <w:pPr>
        <w:pStyle w:val="ListBullet"/>
        <w:spacing w:after="40"/>
      </w:pPr>
      <w:r>
        <w:t>Return-aware masking enforces energy, distance, time, and depot feasibility</w:t>
      </w:r>
    </w:p>
    <w:p>
      <w:pPr>
        <w:pStyle w:val="ListBullet"/>
        <w:spacing w:after="40"/>
      </w:pPr>
      <w:r>
        <w:t>Pointer attention supports variable-size fixed-point inspection decisions</w:t>
      </w:r>
    </w:p>
    <w:p>
      <w:pPr>
        <w:pStyle w:val="ListBullet"/>
        <w:spacing w:after="40"/>
      </w:pPr>
      <w:r>
        <w:t>PPO and A2C attain similar safe coverage across unseen map simulations</w:t>
      </w:r>
    </w:p>
    <w:p>
      <w:pPr>
        <w:pStyle w:val="ListBullet"/>
        <w:spacing w:after="40"/>
      </w:pPr>
      <w:r>
        <w:t>PPO improves training stability and sample efficiency over A2C</w:t>
      </w:r>
    </w:p>
    <w:p>
      <w:pPr>
        <w:pStyle w:val="ListBullet"/>
        <w:spacing w:after="40"/>
      </w:pPr>
      <w:r>
        <w:t>Classical solvers expose an explicit coverage-versus-online-time trade-off</w:t>
      </w:r>
    </w:p>
    <w:p>
      <w:pPr>
        <w:pStyle w:val="Heading1"/>
      </w:pPr>
      <w:r>
        <w:t>Compliance note</w:t>
      </w:r>
    </w:p>
    <w:p>
      <w:pPr>
        <w:widowControl/>
        <w:ind w:firstLine="312"/>
      </w:pPr>
      <w:r>
        <w:t>Five bullet points are supplied. Each contains no more than 85 characters, including spaces.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748B"/>
        <w:sz w:val="16"/>
      </w:rPr>
      <w:t>Return-aware learning for mountain-road inspection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EAAI">
    <w:name w:val="Caption EAAI"/>
    <w:pPr>
      <w:keepNext w:val="0"/>
      <w:spacing w:after="160"/>
      <w:jc w:val="both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EAAI Highlights</dc:title>
  <dc:subject>Engineering Applications of Artificial Intelligence submission package</dc:subject>
  <dc:creator>[AUTHOR INPUT REQUIRED]</dc:creator>
  <cp:keywords>unmanned aerial vehicle inspection, reinforcement learning, combinatorial planning, resource constraints, geographic simulation transfer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