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pPr>
        <w:jc w:val="center"/>
      </w:pPr>
      <w:r>
        <w:rPr>
          <w:rFonts w:ascii="Arial" w:hAnsi="Arial"/>
          <w:i/>
          <w:color w:val="475569"/>
          <w:sz w:val="20"/>
        </w:rPr>
        <w:t>Return-aware proximal policy optimization with pointer attention for multi-resource mountain-road unmanned aerial vehicle inspection planning</w:t>
      </w:r>
    </w:p>
    <w:p>
      <w:pPr>
        <w:pStyle w:val="Heading1"/>
      </w:pPr>
      <w:r>
        <w:t>S1. Frozen protocol and reproducibility scope</w:t>
      </w:r>
    </w:p>
    <w:p>
      <w:pPr>
        <w:widowControl/>
        <w:ind w:firstLine="312"/>
      </w:pPr>
      <w:r>
        <w:t>This supplement reports secondary diagnostics, additional baseline views, failure-mode summaries, all learning curves, and the post-hoc operational composite. It does not change the confirmatory safe priority-weighted coverage outcome, map-level independent unit, or v3.2.14 protocol. The source result file contains 21,648 records, the final audit passed, and ppo_mlp is absent.</w:t>
      </w:r>
    </w:p>
    <w:p>
      <w:pPr>
        <w:pStyle w:val="CaptionEAAI"/>
      </w:pPr>
      <w:r>
        <w:rPr>
          <w:b/>
        </w:rPr>
        <w:t>Table S1. Frozen audit facts.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8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Frozen value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Claim boundary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Learning checkpoints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 paper models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Seven variants × five seeds</w:t>
            </w:r>
          </w:p>
        </w:tc>
      </w:tr>
      <w:tr>
        <w:trPr>
          <w:cantSplit w:val="true"/>
        </w:trPr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Paper training episodes</w:t>
            </w:r>
          </w:p>
        </w:tc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105,000</w:t>
            </w:r>
          </w:p>
        </w:tc>
        <w:tc>
          <w:tcPr>
            <w:tcW w:type="dxa" w:w="39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Historical excluded work not used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Unseen procedural maps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Independent map-level test units</w:t>
            </w:r>
          </w:p>
        </w:tc>
      </w:tr>
      <w:tr>
        <w:trPr>
          <w:cantSplit w:val="true"/>
        </w:trPr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Geographic DSM regions</w:t>
            </w:r>
          </w:p>
        </w:tc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39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Simulation transfer only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Final route records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21,648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manuscript rerun</w:t>
            </w:r>
          </w:p>
        </w:tc>
      </w:tr>
      <w:tr>
        <w:trPr>
          <w:cantSplit w:val="true"/>
        </w:trPr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Hierarchical bootstrap</w:t>
            </w:r>
          </w:p>
        </w:tc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10,000 replicates</w:t>
            </w:r>
          </w:p>
        </w:tc>
        <w:tc>
          <w:tcPr>
            <w:tcW w:type="dxa" w:w="39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Outer unit is map</w:t>
            </w:r>
          </w:p>
        </w:tc>
      </w:tr>
    </w:tbl>
    <w:p>
      <w:pPr>
        <w:spacing w:after="0"/>
      </w:pPr>
    </w:p>
    <w:p>
      <w:pPr>
        <w:pStyle w:val="Heading1"/>
      </w:pPr>
      <w:r>
        <w:t>S2. Performance profiles and solver diagnostics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66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1_performance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6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S1. </w:t>
      </w:r>
      <w:r>
        <w:t>Performance profiles based on regret from the safe priority-weighted coverage leader for each task.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39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3_oracle_comp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S2. </w:t>
      </w:r>
      <w:r>
        <w:t>Oracle regret and online computation. Horizontal intervals show the frozen regret range; planning time is logarithmic.</w:t>
      </w:r>
    </w:p>
    <w:p>
      <w:pPr>
        <w:pStyle w:val="Heading1"/>
      </w:pPr>
      <w:r>
        <w:t>S3. Scenario-stratified and failure-mode results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74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4_scenario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7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S3. </w:t>
      </w:r>
      <w:r>
        <w:t>Scenario-stratified safe priority-weighted coverage across node count, terrain, wind, and resource factors.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31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5_failure_mo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S4. </w:t>
      </w:r>
      <w:r>
        <w:t>Safety and return outcomes across robustness families and perturbation conditions.</w:t>
      </w:r>
    </w:p>
    <w:p>
      <w:pPr>
        <w:pStyle w:val="Heading1"/>
      </w:pPr>
      <w:r>
        <w:t>S4. All-model training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665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6_all_trai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6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S5. </w:t>
      </w:r>
      <w:r>
        <w:t>Training trajectories for all seven learning variants under the frozen 3,000-episode protocol.</w:t>
      </w:r>
    </w:p>
    <w:p>
      <w:pPr>
        <w:pStyle w:val="Heading1"/>
      </w:pPr>
      <w:r>
        <w:t>S5. Post-hoc operational summary and sensitivity</w:t>
      </w:r>
    </w:p>
    <w:p>
      <w:pPr>
        <w:widowControl/>
        <w:ind w:firstLine="312"/>
      </w:pPr>
      <w:r>
        <w:t>The seven-dimensional operational score combines D1–D7 after the confirmatory analyses. The arithmetic scores are 76.66 for PPO+Pointer, 74.55 for A2C+Pointer, and 54.47 for Flat-MLP PPO. A 10,000-replicate hierarchical bootstrap gives a mean PPO-minus-A2C difference of 1.99 points (95% interval 0.78–3.21; probability positive 1.00). This score is descriptive: its weights, operational floor, and normalisation do not replace safe priority-weighted coverage, and no individual D4, D6, or D7 contrast remained significant after Holm adjustment in its post-hoc family.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63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7_dimen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S6. </w:t>
      </w:r>
      <w:r>
        <w:t>Seven-dimensional operational evidence profile. The 100-point aggregate is post-hoc and not a confirmatory champion metric.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69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8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6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S7. </w:t>
      </w:r>
      <w:r>
        <w:t>Sensitivity of PPO+Pointer ranking to the operational floor and combined D6+D7 training weight.</w:t>
      </w:r>
    </w:p>
    <w:p>
      <w:pPr>
        <w:pStyle w:val="Heading1"/>
      </w:pPr>
      <w:r>
        <w:t>S6. Representative unseen synthetic route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55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09_synthetic_rou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5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AAI"/>
      </w:pPr>
      <w:r>
        <w:rPr>
          <w:b/>
        </w:rPr>
        <w:t xml:space="preserve">Fig. S8. </w:t>
      </w:r>
      <w:r>
        <w:t>Representative fixed unseen synthetic task with road context, inspection priorities, and comparator routes.</w:t>
      </w:r>
    </w:p>
    <w:p>
      <w:pPr>
        <w:pStyle w:val="Heading1"/>
      </w:pPr>
      <w:r>
        <w:t>S7. Additional claim boundaries</w:t>
      </w:r>
    </w:p>
    <w:p>
      <w:pPr>
        <w:pStyle w:val="ListBullet"/>
        <w:spacing w:after="40"/>
      </w:pPr>
      <w:r>
        <w:t>The geographic evidence is DSM-based simulation, not flight validation.</w:t>
      </w:r>
    </w:p>
    <w:p>
      <w:pPr>
        <w:pStyle w:val="ListBullet"/>
        <w:spacing w:after="40"/>
      </w:pPr>
      <w:r>
        <w:t>All node counts were observed during training; scale extrapolation is untested.</w:t>
      </w:r>
    </w:p>
    <w:p>
      <w:pPr>
        <w:pStyle w:val="ListBullet"/>
        <w:spacing w:after="40"/>
      </w:pPr>
      <w:r>
        <w:t>The ablations do not isolate energy, distance, time, and dynamics submasks separately.</w:t>
      </w:r>
    </w:p>
    <w:p>
      <w:pPr>
        <w:pStyle w:val="ListBullet"/>
        <w:spacing w:after="40"/>
      </w:pPr>
      <w:r>
        <w:t>The aircraft and wind models are engineering proxies, not certified digital twins.</w:t>
      </w:r>
    </w:p>
    <w:p>
      <w:pPr>
        <w:pStyle w:val="ListBullet"/>
        <w:spacing w:after="40"/>
      </w:pPr>
      <w:r>
        <w:t>Classical solver status and runtime must be interpreted jointly with route quality.</w:t>
      </w:r>
    </w:p>
    <w:p>
      <w:pPr>
        <w:pStyle w:val="ListBullet"/>
        <w:spacing w:after="40"/>
      </w:pPr>
      <w:r>
        <w:t>The 100-point score is a post-hoc summary and is not used in the abstract or primary conclusion.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748B"/>
        <w:sz w:val="16"/>
      </w:rPr>
      <w:t>Anonymous manuscript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EAAI">
    <w:name w:val="Caption EAAI"/>
    <w:pPr>
      <w:keepNext w:val="0"/>
      <w:spacing w:after="160"/>
      <w:jc w:val="both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EAAI Supplementary Material</dc:title>
  <dc:subject>Engineering Applications of Artificial Intelligence submission package</dc:subject>
  <dc:creator/>
  <cp:keywords>unmanned aerial vehicle inspection, reinforcement learning, combinatorial planning, resource constraints, geographic simulation transfer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