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Journal Style Profile, Evidence Matrix, and Compliance Audit</w:t>
      </w:r>
    </w:p>
    <w:p>
      <w:pPr>
        <w:jc w:val="center"/>
      </w:pPr>
      <w:r>
        <w:rPr>
          <w:rFonts w:ascii="Arial" w:hAnsi="Arial"/>
          <w:i/>
          <w:color w:val="475569"/>
          <w:sz w:val="20"/>
        </w:rPr>
        <w:t>EAAI Original Research — v3.2.14 evidence lock</w:t>
      </w:r>
    </w:p>
    <w:p>
      <w:pPr>
        <w:pStyle w:val="Heading1"/>
      </w:pPr>
      <w:r>
        <w:t>1. Journal Style Profile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 w:val="true"/>
        </w:trPr>
        <w:tc>
          <w:tcPr>
            <w:tcW w:type="dxa" w:w="294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79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402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Source/evidence</w:t>
            </w:r>
          </w:p>
        </w:tc>
        <w:tc>
          <w:tcPr>
            <w:tcW w:type="dxa" w:w="113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Confidence</w:t>
            </w:r>
          </w:p>
        </w:tc>
        <w:tc>
          <w:tcPr>
            <w:tcW w:type="dxa" w:w="1247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Applied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Single-column Word submission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Official EAAI guide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High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</w:tr>
      <w:tr>
        <w:trPr>
          <w:cantSplit w:val="true"/>
        </w:trPr>
        <w:tc>
          <w:tcPr>
            <w:tcW w:type="dxa" w:w="2948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Double-anonymised manuscript and separate title page</w:t>
            </w:r>
          </w:p>
        </w:tc>
        <w:tc>
          <w:tcPr>
            <w:tcW w:type="dxa" w:w="794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</w:t>
            </w:r>
          </w:p>
        </w:tc>
        <w:tc>
          <w:tcPr>
            <w:tcW w:type="dxa" w:w="3402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Official EAAI guide</w:t>
            </w:r>
          </w:p>
        </w:tc>
        <w:tc>
          <w:tcPr>
            <w:tcW w:type="dxa" w:w="1134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High</w:t>
            </w:r>
          </w:p>
        </w:tc>
        <w:tc>
          <w:tcPr>
            <w:tcW w:type="dxa" w:w="1247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Abstract ≤250 words; 1–6 keywords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Official EAAI guide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High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</w:tr>
      <w:tr>
        <w:trPr>
          <w:cantSplit w:val="true"/>
        </w:trPr>
        <w:tc>
          <w:tcPr>
            <w:tcW w:type="dxa" w:w="2948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Highlights: 3–5 bullets, each ≤85 characters</w:t>
            </w:r>
          </w:p>
        </w:tc>
        <w:tc>
          <w:tcPr>
            <w:tcW w:type="dxa" w:w="794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</w:t>
            </w:r>
          </w:p>
        </w:tc>
        <w:tc>
          <w:tcPr>
            <w:tcW w:type="dxa" w:w="3402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Official EAAI guide</w:t>
            </w:r>
          </w:p>
        </w:tc>
        <w:tc>
          <w:tcPr>
            <w:tcW w:type="dxa" w:w="1134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High</w:t>
            </w:r>
          </w:p>
        </w:tc>
        <w:tc>
          <w:tcPr>
            <w:tcW w:type="dxa" w:w="1247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Explicit AI contribution and engineering application contribution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EAAI aims/scope and desk-reject rules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High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</w:tr>
      <w:tr>
        <w:trPr>
          <w:cantSplit w:val="true"/>
        </w:trPr>
        <w:tc>
          <w:tcPr>
            <w:tcW w:type="dxa" w:w="2948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Methods and Results separated; independent Conclusions</w:t>
            </w:r>
          </w:p>
        </w:tc>
        <w:tc>
          <w:tcPr>
            <w:tcW w:type="dxa" w:w="794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</w:t>
            </w:r>
          </w:p>
        </w:tc>
        <w:tc>
          <w:tcPr>
            <w:tcW w:type="dxa" w:w="3402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Recent Original Research exemplars</w:t>
            </w:r>
          </w:p>
        </w:tc>
        <w:tc>
          <w:tcPr>
            <w:tcW w:type="dxa" w:w="1134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High</w:t>
            </w:r>
          </w:p>
        </w:tc>
        <w:tc>
          <w:tcPr>
            <w:tcW w:type="dxa" w:w="1247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Problem formulation before learning architecture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Routing/navigation exemplar pool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High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</w:tr>
      <w:tr>
        <w:trPr>
          <w:cantSplit w:val="true"/>
        </w:trPr>
        <w:tc>
          <w:tcPr>
            <w:tcW w:type="dxa" w:w="2948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Results ordered from primary quality to safety, time, training, transfer, robustness, ablation</w:t>
            </w:r>
          </w:p>
        </w:tc>
        <w:tc>
          <w:tcPr>
            <w:tcW w:type="dxa" w:w="794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</w:t>
            </w:r>
          </w:p>
        </w:tc>
        <w:tc>
          <w:tcPr>
            <w:tcW w:type="dxa" w:w="3402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Stable evidence-first convention adapted to study logic</w:t>
            </w:r>
          </w:p>
        </w:tc>
        <w:tc>
          <w:tcPr>
            <w:tcW w:type="dxa" w:w="1134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Medium</w:t>
            </w:r>
          </w:p>
        </w:tc>
        <w:tc>
          <w:tcPr>
            <w:tcW w:type="dxa" w:w="1247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Graphical abstract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Encouraged but not required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High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Not supplied</w:t>
            </w:r>
          </w:p>
        </w:tc>
      </w:tr>
      <w:tr>
        <w:trPr>
          <w:cantSplit w:val="true"/>
        </w:trPr>
        <w:tc>
          <w:tcPr>
            <w:tcW w:type="dxa" w:w="2948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Post-hoc composite in main claim</w:t>
            </w:r>
          </w:p>
        </w:tc>
        <w:tc>
          <w:tcPr>
            <w:tcW w:type="dxa" w:w="794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</w:t>
            </w:r>
          </w:p>
        </w:tc>
        <w:tc>
          <w:tcPr>
            <w:tcW w:type="dxa" w:w="3402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Study-specific</w:t>
            </w:r>
          </w:p>
        </w:tc>
        <w:tc>
          <w:tcPr>
            <w:tcW w:type="dxa" w:w="1134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Low</w:t>
            </w:r>
          </w:p>
        </w:tc>
        <w:tc>
          <w:tcPr>
            <w:tcW w:type="dxa" w:w="1247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No; supplement only</w:t>
            </w:r>
          </w:p>
        </w:tc>
      </w:tr>
    </w:tbl>
    <w:p>
      <w:pPr>
        <w:spacing w:after="0"/>
      </w:pPr>
    </w:p>
    <w:p>
      <w:pPr>
        <w:widowControl/>
        <w:ind w:firstLine="312"/>
      </w:pPr>
      <w:r>
        <w:t>Macrostructure: Introduction → Related work and gap → Problem formulation → Method → Experimental/statistical protocol → Results → Discussion and limitations → Conclusions. Results paragraphs follow purpose → figure → observation → quantitative evidence → statistics → bounded interpretation. Discussion is organised by findings and claim boundaries rather than citation count.</w:t>
      </w:r>
    </w:p>
    <w:p>
      <w:pPr>
        <w:widowControl/>
        <w:ind w:firstLine="312"/>
      </w:pPr>
      <w:r>
        <w:t>Language profile: precise active/passive mixture; past tense for completed experiments; present tense for figure content and established concepts; restrained hedging; no unverified first/novel/unprecedented claim; no universal PPO superiority. Sample papers influenced only section functions, information order, evidence density, and caption roles.</w:t>
      </w:r>
    </w:p>
    <w:p>
      <w:pPr>
        <w:pStyle w:val="Heading1"/>
      </w:pPr>
      <w:r>
        <w:t>2. Fact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 w:val="true"/>
        </w:trPr>
        <w:tc>
          <w:tcPr>
            <w:tcW w:type="dxa" w:w="85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Fact ID</w:t>
            </w:r>
          </w:p>
        </w:tc>
        <w:tc>
          <w:tcPr>
            <w:tcW w:type="dxa" w:w="4195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Statement</w:t>
            </w:r>
          </w:p>
        </w:tc>
        <w:tc>
          <w:tcPr>
            <w:tcW w:type="dxa" w:w="2381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113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02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F01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The frozen protocol identity is multimap_v3_2_14 (v3.2.14).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HANDOFF.md; final_audit_status.json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metadata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850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F02</w:t>
            </w:r>
          </w:p>
        </w:tc>
        <w:tc>
          <w:tcPr>
            <w:tcW w:type="dxa" w:w="4195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The final result file contains 21,648 records and excludes ppo_mlp.</w:t>
            </w:r>
          </w:p>
        </w:tc>
        <w:tc>
          <w:tcPr>
            <w:tcW w:type="dxa" w:w="2381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final_audit_status.json; final_results.jsonl</w:t>
            </w:r>
          </w:p>
        </w:tc>
        <w:tc>
          <w:tcPr>
            <w:tcW w:type="dxa" w:w="1134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result</w:t>
            </w:r>
          </w:p>
        </w:tc>
        <w:tc>
          <w:tcPr>
            <w:tcW w:type="dxa" w:w="1020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F03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Training used 72 procedural mountain maps, 648 tasks, five seeds, and 3,000 episodes for each of seven learning variants.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HANDOFF.md; training summaries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method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850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F04</w:t>
            </w:r>
          </w:p>
        </w:tc>
        <w:tc>
          <w:tcPr>
            <w:tcW w:type="dxa" w:w="4195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Formal evaluation used 24 unseen procedural maps (216 tasks) and eight independent Copernicus DSM regions (144 tasks).</w:t>
            </w:r>
          </w:p>
        </w:tc>
        <w:tc>
          <w:tcPr>
            <w:tcW w:type="dxa" w:w="2381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evaluation matrix; HANDOFF.md</w:t>
            </w:r>
          </w:p>
        </w:tc>
        <w:tc>
          <w:tcPr>
            <w:tcW w:type="dxa" w:w="1134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method</w:t>
            </w:r>
          </w:p>
        </w:tc>
        <w:tc>
          <w:tcPr>
            <w:tcW w:type="dxa" w:w="1020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F05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Node counts 16, 20, and 24 all occurred in training; evaluation does not test out-of-range scale generalisation.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protocol; HANDOFF.md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limitation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850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F06</w:t>
            </w:r>
          </w:p>
        </w:tc>
        <w:tc>
          <w:tcPr>
            <w:tcW w:type="dxa" w:w="4195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The full actor–critic contains 341,505 parameters for the audited seed-42 checkpoint.</w:t>
            </w:r>
          </w:p>
        </w:tc>
        <w:tc>
          <w:tcPr>
            <w:tcW w:type="dxa" w:w="2381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checkpoint audit</w:t>
            </w:r>
          </w:p>
        </w:tc>
        <w:tc>
          <w:tcPr>
            <w:tcW w:type="dxa" w:w="1134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method</w:t>
            </w:r>
          </w:p>
        </w:tc>
        <w:tc>
          <w:tcPr>
            <w:tcW w:type="dxa" w:w="1020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F07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The traditional comparator is a fixed-slot FlatMLPActorCritic without attention.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implementation; HANDOFF.md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method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850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F08</w:t>
            </w:r>
          </w:p>
        </w:tc>
        <w:tc>
          <w:tcPr>
            <w:tcW w:type="dxa" w:w="4195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Safe priority-weighted coverage assigns zero to unsafe or hard-violation routes.</w:t>
            </w:r>
          </w:p>
        </w:tc>
        <w:tc>
          <w:tcPr>
            <w:tcW w:type="dxa" w:w="2381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protocol and analysis code</w:t>
            </w:r>
          </w:p>
        </w:tc>
        <w:tc>
          <w:tcPr>
            <w:tcW w:type="dxa" w:w="1134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method</w:t>
            </w:r>
          </w:p>
        </w:tc>
        <w:tc>
          <w:tcPr>
            <w:tcW w:type="dxa" w:w="1020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F09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Maps are the independent statistical unit; task, seed, route, and road repetitions are not treated as independent maps.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statistics protocol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statistic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850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F10</w:t>
            </w:r>
          </w:p>
        </w:tc>
        <w:tc>
          <w:tcPr>
            <w:tcW w:type="dxa" w:w="4195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PPO+Pointer mean safe weighted coverage is 0.4858 on unseen synthetic maps and 0.5024 on DSM simulations.</w:t>
            </w:r>
          </w:p>
        </w:tc>
        <w:tc>
          <w:tcPr>
            <w:tcW w:type="dxa" w:w="2381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descriptive_metrics.csv</w:t>
            </w:r>
          </w:p>
        </w:tc>
        <w:tc>
          <w:tcPr>
            <w:tcW w:type="dxa" w:w="1134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result</w:t>
            </w:r>
          </w:p>
        </w:tc>
        <w:tc>
          <w:tcPr>
            <w:tcW w:type="dxa" w:w="1020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F11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PPO+Pointer and A2C+Pointer do not differ significantly on the confirmatory safe coverage outcome.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confirmatory_pairwise.csv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result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850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F12</w:t>
            </w:r>
          </w:p>
        </w:tc>
        <w:tc>
          <w:tcPr>
            <w:tcW w:type="dxa" w:w="4195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ACO, SA, and MILP can exceed PPO+Pointer on safe weighted coverage, with higher online computation.</w:t>
            </w:r>
          </w:p>
        </w:tc>
        <w:tc>
          <w:tcPr>
            <w:tcW w:type="dxa" w:w="2381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descriptive_metrics.csv; M05/S02 Source Data</w:t>
            </w:r>
          </w:p>
        </w:tc>
        <w:tc>
          <w:tcPr>
            <w:tcW w:type="dxa" w:w="1134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result</w:t>
            </w:r>
          </w:p>
        </w:tc>
        <w:tc>
          <w:tcPr>
            <w:tcW w:type="dxa" w:w="1020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F13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Removing the return reserve produces a large, significant coverage loss; the other three individual ablations do not.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confirmatory_pairwise.csv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result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850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F14</w:t>
            </w:r>
          </w:p>
        </w:tc>
        <w:tc>
          <w:tcPr>
            <w:tcW w:type="dxa" w:w="4195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Geographic DSM results are zero-shot simulations and are not real-flight validation or safety certification.</w:t>
            </w:r>
          </w:p>
        </w:tc>
        <w:tc>
          <w:tcPr>
            <w:tcW w:type="dxa" w:w="2381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protocol; HANDOFF.md</w:t>
            </w:r>
          </w:p>
        </w:tc>
        <w:tc>
          <w:tcPr>
            <w:tcW w:type="dxa" w:w="1134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limitation</w:t>
            </w:r>
          </w:p>
        </w:tc>
        <w:tc>
          <w:tcPr>
            <w:tcW w:type="dxa" w:w="1020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verified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F15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The post-hoc 100-point operational score is descriptive and not a confirmatory primary outcome.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operational analysis manifest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limitation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verified</w:t>
            </w:r>
          </w:p>
        </w:tc>
      </w:tr>
    </w:tbl>
    <w:p>
      <w:pPr>
        <w:spacing w:after="0"/>
      </w:pPr>
    </w:p>
    <w:p>
      <w:pPr>
        <w:pStyle w:val="Heading1"/>
      </w:pPr>
      <w:r>
        <w:t>3. Claim Map and Evidence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  <w:cantSplit w:val="true"/>
        </w:trPr>
        <w:tc>
          <w:tcPr>
            <w:tcW w:type="dxa" w:w="68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Claim</w:t>
            </w:r>
          </w:p>
        </w:tc>
        <w:tc>
          <w:tcPr>
            <w:tcW w:type="dxa" w:w="3005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Maximum statement</w:t>
            </w:r>
          </w:p>
        </w:tc>
        <w:tc>
          <w:tcPr>
            <w:tcW w:type="dxa" w:w="2041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1247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  <w:tc>
          <w:tcPr>
            <w:tcW w:type="dxa" w:w="102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Max strength</w:t>
            </w:r>
          </w:p>
        </w:tc>
        <w:tc>
          <w:tcPr>
            <w:tcW w:type="dxa" w:w="2381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Boundary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C01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The method enforces return-aware resource feasibility before action selection.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F08; Fig. 1; implementation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method fact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show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 formal safety certification</w:t>
            </w:r>
          </w:p>
        </w:tc>
      </w:tr>
      <w:tr>
        <w:trPr>
          <w:cantSplit w:val="true"/>
        </w:trPr>
        <w:tc>
          <w:tcPr>
            <w:tcW w:type="dxa" w:w="680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C02</w:t>
            </w:r>
          </w:p>
        </w:tc>
        <w:tc>
          <w:tcPr>
            <w:tcW w:type="dxa" w:w="3005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Pointer attention supports variable-length candidate selection within the trained node-count range.</w:t>
            </w:r>
          </w:p>
        </w:tc>
        <w:tc>
          <w:tcPr>
            <w:tcW w:type="dxa" w:w="2041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F05; Fig. 1</w:t>
            </w:r>
          </w:p>
        </w:tc>
        <w:tc>
          <w:tcPr>
            <w:tcW w:type="dxa" w:w="1247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method fact</w:t>
            </w:r>
          </w:p>
        </w:tc>
        <w:tc>
          <w:tcPr>
            <w:tcW w:type="dxa" w:w="1020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supports</w:t>
            </w:r>
          </w:p>
        </w:tc>
        <w:tc>
          <w:tcPr>
            <w:tcW w:type="dxa" w:w="2381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 claim beyond 16/20/24 nodes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C03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PPO+Pointer strongly improves safe weighted coverage over Flat-MLP PPO.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F10; Fig. 2; pairwise statistics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result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shows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Simulation domains only</w:t>
            </w:r>
          </w:p>
        </w:tc>
      </w:tr>
      <w:tr>
        <w:trPr>
          <w:cantSplit w:val="true"/>
        </w:trPr>
        <w:tc>
          <w:tcPr>
            <w:tcW w:type="dxa" w:w="680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C04</w:t>
            </w:r>
          </w:p>
        </w:tc>
        <w:tc>
          <w:tcPr>
            <w:tcW w:type="dxa" w:w="3005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PPO+Pointer and A2C+Pointer attain statistically similar confirmatory safe coverage.</w:t>
            </w:r>
          </w:p>
        </w:tc>
        <w:tc>
          <w:tcPr>
            <w:tcW w:type="dxa" w:w="2041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F11; Fig. 2</w:t>
            </w:r>
          </w:p>
        </w:tc>
        <w:tc>
          <w:tcPr>
            <w:tcW w:type="dxa" w:w="1247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result</w:t>
            </w:r>
          </w:p>
        </w:tc>
        <w:tc>
          <w:tcPr>
            <w:tcW w:type="dxa" w:w="1020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indicates</w:t>
            </w:r>
          </w:p>
        </w:tc>
        <w:tc>
          <w:tcPr>
            <w:tcW w:type="dxa" w:w="2381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Non-significance is not proof of equivalence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C05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PPO+Pointer has a stronger combined training profile than A2C+Pointer.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Fig. 5; D6/D7 frozen scores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result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indicates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Mechanism not causally isolated</w:t>
            </w:r>
          </w:p>
        </w:tc>
      </w:tr>
      <w:tr>
        <w:trPr>
          <w:cantSplit w:val="true"/>
        </w:trPr>
        <w:tc>
          <w:tcPr>
            <w:tcW w:type="dxa" w:w="680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C06</w:t>
            </w:r>
          </w:p>
        </w:tc>
        <w:tc>
          <w:tcPr>
            <w:tcW w:type="dxa" w:w="3005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Return reserve is the dominant independently tested safety-related component.</w:t>
            </w:r>
          </w:p>
        </w:tc>
        <w:tc>
          <w:tcPr>
            <w:tcW w:type="dxa" w:w="2041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F13; Fig. 8</w:t>
            </w:r>
          </w:p>
        </w:tc>
        <w:tc>
          <w:tcPr>
            <w:tcW w:type="dxa" w:w="1247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result</w:t>
            </w:r>
          </w:p>
        </w:tc>
        <w:tc>
          <w:tcPr>
            <w:tcW w:type="dxa" w:w="1020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supports</w:t>
            </w:r>
          </w:p>
        </w:tc>
        <w:tc>
          <w:tcPr>
            <w:tcW w:type="dxa" w:w="2381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Other submasks were not separately ablated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C07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Classical solvers expose a quality–time trade-off rather than universal PPO dominance.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F12; Fig. 4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result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shows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Hardware-specific time values</w:t>
            </w:r>
          </w:p>
        </w:tc>
      </w:tr>
      <w:tr>
        <w:trPr>
          <w:cantSplit w:val="true"/>
        </w:trPr>
        <w:tc>
          <w:tcPr>
            <w:tcW w:type="dxa" w:w="680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C08</w:t>
            </w:r>
          </w:p>
        </w:tc>
        <w:tc>
          <w:tcPr>
            <w:tcW w:type="dxa" w:w="3005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The policy transfers zero-shot to independent geographic DSM simulations.</w:t>
            </w:r>
          </w:p>
        </w:tc>
        <w:tc>
          <w:tcPr>
            <w:tcW w:type="dxa" w:w="2041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F04; F14; Fig. 6</w:t>
            </w:r>
          </w:p>
        </w:tc>
        <w:tc>
          <w:tcPr>
            <w:tcW w:type="dxa" w:w="1247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result</w:t>
            </w:r>
          </w:p>
        </w:tc>
        <w:tc>
          <w:tcPr>
            <w:tcW w:type="dxa" w:w="1020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shows</w:t>
            </w:r>
          </w:p>
        </w:tc>
        <w:tc>
          <w:tcPr>
            <w:tcW w:type="dxa" w:w="2381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Not physical-domain transfer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C09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Hidden mismatch degrades performance but preserves a PPO advantage over Flat-MLP PPO.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Fig. 7; robustness tables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result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indicates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Finite perturbation catalogue</w:t>
            </w:r>
          </w:p>
        </w:tc>
      </w:tr>
      <w:tr>
        <w:trPr>
          <w:cantSplit w:val="true"/>
        </w:trPr>
        <w:tc>
          <w:tcPr>
            <w:tcW w:type="dxa" w:w="680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C10</w:t>
            </w:r>
          </w:p>
        </w:tc>
        <w:tc>
          <w:tcPr>
            <w:tcW w:type="dxa" w:w="3005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The study provides reproducible simulation evidence for engineering planning decisions.</w:t>
            </w:r>
          </w:p>
        </w:tc>
        <w:tc>
          <w:tcPr>
            <w:tcW w:type="dxa" w:w="2041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F01–F15; package manifest</w:t>
            </w:r>
          </w:p>
        </w:tc>
        <w:tc>
          <w:tcPr>
            <w:tcW w:type="dxa" w:w="1247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synthesis</w:t>
            </w:r>
          </w:p>
        </w:tc>
        <w:tc>
          <w:tcPr>
            <w:tcW w:type="dxa" w:w="1020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supports</w:t>
            </w:r>
          </w:p>
        </w:tc>
        <w:tc>
          <w:tcPr>
            <w:tcW w:type="dxa" w:w="2381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Requires independent external and flight validation</w:t>
            </w:r>
          </w:p>
        </w:tc>
      </w:tr>
    </w:tbl>
    <w:p>
      <w:pPr>
        <w:spacing w:after="0"/>
      </w:pPr>
    </w:p>
    <w:p>
      <w:pPr>
        <w:pStyle w:val="Heading1"/>
      </w:pPr>
      <w:r>
        <w:t>4. Figure Storyline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 w:val="true"/>
        </w:trPr>
        <w:tc>
          <w:tcPr>
            <w:tcW w:type="dxa" w:w="85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Figure</w:t>
            </w:r>
          </w:p>
        </w:tc>
        <w:tc>
          <w:tcPr>
            <w:tcW w:type="dxa" w:w="311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3515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Maximum claim</w:t>
            </w:r>
          </w:p>
        </w:tc>
        <w:tc>
          <w:tcPr>
            <w:tcW w:type="dxa" w:w="226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Cannot prove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Fig. 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How are variable candidates and return constraints coupled?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Feasibility is filtered before action selection.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Formal or physical safety</w:t>
            </w:r>
          </w:p>
        </w:tc>
      </w:tr>
      <w:tr>
        <w:trPr>
          <w:cantSplit w:val="true"/>
        </w:trPr>
        <w:tc>
          <w:tcPr>
            <w:tcW w:type="dxa" w:w="850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Fig. 2</w:t>
            </w:r>
          </w:p>
        </w:tc>
        <w:tc>
          <w:tcPr>
            <w:tcW w:type="dxa" w:w="3118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Does the method improve safe coverage?</w:t>
            </w:r>
          </w:p>
        </w:tc>
        <w:tc>
          <w:tcPr>
            <w:tcW w:type="dxa" w:w="3515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Large gain over Flat-MLP PPO; similarity to A2C.</w:t>
            </w:r>
          </w:p>
        </w:tc>
        <w:tc>
          <w:tcPr>
            <w:tcW w:type="dxa" w:w="2268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Universal coverage dominance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Fig. 3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Are routes safe and resource-aware?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Primary simulated feasibility and bounded utilisation.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Certified aircraft margins</w:t>
            </w:r>
          </w:p>
        </w:tc>
      </w:tr>
      <w:tr>
        <w:trPr>
          <w:cantSplit w:val="true"/>
        </w:trPr>
        <w:tc>
          <w:tcPr>
            <w:tcW w:type="dxa" w:w="850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Fig. 4</w:t>
            </w:r>
          </w:p>
        </w:tc>
        <w:tc>
          <w:tcPr>
            <w:tcW w:type="dxa" w:w="3118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What is the online quality–time trade-off?</w:t>
            </w:r>
          </w:p>
        </w:tc>
        <w:tc>
          <w:tcPr>
            <w:tcW w:type="dxa" w:w="3515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Neural methods are much faster than ACO/MILP here.</w:t>
            </w:r>
          </w:p>
        </w:tc>
        <w:tc>
          <w:tcPr>
            <w:tcW w:type="dxa" w:w="2268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Hardware-independent latency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Fig. 5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How do learning trajectories differ?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PPO has stronger frozen D6/D7 profile.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Causal PPO mechanism</w:t>
            </w:r>
          </w:p>
        </w:tc>
      </w:tr>
      <w:tr>
        <w:trPr>
          <w:cantSplit w:val="true"/>
        </w:trPr>
        <w:tc>
          <w:tcPr>
            <w:tcW w:type="dxa" w:w="850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Fig. 6</w:t>
            </w:r>
          </w:p>
        </w:tc>
        <w:tc>
          <w:tcPr>
            <w:tcW w:type="dxa" w:w="3118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Does the policy transfer across geographic DSM contexts?</w:t>
            </w:r>
          </w:p>
        </w:tc>
        <w:tc>
          <w:tcPr>
            <w:tcW w:type="dxa" w:w="3515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Zero-shot simulation transfer.</w:t>
            </w:r>
          </w:p>
        </w:tc>
        <w:tc>
          <w:tcPr>
            <w:tcW w:type="dxa" w:w="2268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Sim-to-real or flight transfer</w:t>
            </w:r>
          </w:p>
        </w:tc>
      </w:tr>
      <w:tr>
        <w:trPr>
          <w:cantSplit w:val="true"/>
        </w:trP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Fig. 7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How does performance change under shifts?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Finite known/hidden perturbation robustness.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Open-world robustness</w:t>
            </w:r>
          </w:p>
        </w:tc>
      </w:tr>
      <w:tr>
        <w:trPr>
          <w:cantSplit w:val="true"/>
        </w:trPr>
        <w:tc>
          <w:tcPr>
            <w:tcW w:type="dxa" w:w="850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Fig. 8</w:t>
            </w:r>
          </w:p>
        </w:tc>
        <w:tc>
          <w:tcPr>
            <w:tcW w:type="dxa" w:w="3118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Which components have independent evidence?</w:t>
            </w:r>
          </w:p>
        </w:tc>
        <w:tc>
          <w:tcPr>
            <w:tcW w:type="dxa" w:w="3515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Return reserve is dominant.</w:t>
            </w:r>
          </w:p>
        </w:tc>
        <w:tc>
          <w:tcPr>
            <w:tcW w:type="dxa" w:w="2268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Independent submask effects</w:t>
            </w:r>
          </w:p>
        </w:tc>
      </w:tr>
    </w:tbl>
    <w:p>
      <w:pPr>
        <w:spacing w:after="0"/>
      </w:pPr>
    </w:p>
    <w:p>
      <w:pPr>
        <w:pStyle w:val="Heading1"/>
      </w:pPr>
      <w:r>
        <w:t>5. Final Compliance Audit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1701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Audit area</w:t>
            </w:r>
          </w:p>
        </w:tc>
        <w:tc>
          <w:tcPr>
            <w:tcW w:type="dxa" w:w="5669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26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Scientific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final_results.jsonl = 21,648; passed=true; ppo_mlp_absent=true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701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Statistics</w:t>
            </w:r>
          </w:p>
        </w:tc>
        <w:tc>
          <w:tcPr>
            <w:tcW w:type="dxa" w:w="5669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Map is independent unit; paired tests and outer-map bootstrap</w:t>
            </w:r>
          </w:p>
        </w:tc>
        <w:tc>
          <w:tcPr>
            <w:tcW w:type="dxa" w:w="2268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Abstract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206 words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701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Keywords</w:t>
            </w:r>
          </w:p>
        </w:tc>
        <w:tc>
          <w:tcPr>
            <w:tcW w:type="dxa" w:w="5669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2268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Highlights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5 bullets; max 75 characters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701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Anonymity</w:t>
            </w:r>
          </w:p>
        </w:tc>
        <w:tc>
          <w:tcPr>
            <w:tcW w:type="dxa" w:w="5669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Author identities omitted from manuscript; separate title page</w:t>
            </w:r>
          </w:p>
        </w:tc>
        <w:tc>
          <w:tcPr>
            <w:tcW w:type="dxa" w:w="2268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WITH PLACEHOLDERS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References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DOI/official metadata register and claim map supplied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PASS; access-limited full texts marked</w:t>
            </w:r>
          </w:p>
        </w:tc>
      </w:tr>
      <w:tr>
        <w:trPr>
          <w:cantSplit w:val="true"/>
        </w:trPr>
        <w:tc>
          <w:tcPr>
            <w:tcW w:type="dxa" w:w="1701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Generative images</w:t>
            </w:r>
          </w:p>
        </w:tc>
        <w:tc>
          <w:tcPr>
            <w:tcW w:type="dxa" w:w="5669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None used; plots redrawn from frozen Source Data</w:t>
            </w:r>
          </w:p>
        </w:tc>
        <w:tc>
          <w:tcPr>
            <w:tcW w:type="dxa" w:w="2268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Data/code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Anonymous/permanent repository links missing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AUTHOR INPUT REQUIRED</w:t>
            </w:r>
          </w:p>
        </w:tc>
      </w:tr>
      <w:tr>
        <w:trPr>
          <w:cantSplit w:val="true"/>
        </w:trPr>
        <w:tc>
          <w:tcPr>
            <w:tcW w:type="dxa" w:w="1701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Funding/CRediT/COI</w:t>
            </w:r>
          </w:p>
        </w:tc>
        <w:tc>
          <w:tcPr>
            <w:tcW w:type="dxa" w:w="5669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 author-supplied facts</w:t>
            </w:r>
          </w:p>
        </w:tc>
        <w:tc>
          <w:tcPr>
            <w:tcW w:type="dxa" w:w="2268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AUTHOR INPUT REQUIRED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Page limit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To be verified after rendered layout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PENDING RENDER AUDIT</w:t>
            </w:r>
          </w:p>
        </w:tc>
      </w:tr>
      <w:tr>
        <w:trPr>
          <w:cantSplit w:val="true"/>
        </w:trPr>
        <w:tc>
          <w:tcPr>
            <w:tcW w:type="dxa" w:w="1701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Current journal rule</w:t>
            </w:r>
          </w:p>
        </w:tc>
        <w:tc>
          <w:tcPr>
            <w:tcW w:type="dxa" w:w="5669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Recheck author guide and AI disclosure at submission</w:t>
            </w:r>
          </w:p>
        </w:tc>
        <w:tc>
          <w:tcPr>
            <w:tcW w:type="dxa" w:w="2268"/>
            <w:shd w:fill="F4F7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AUTHOR CHECK</w:t>
            </w:r>
          </w:p>
        </w:tc>
      </w:tr>
    </w:tbl>
    <w:p>
      <w:pPr>
        <w:spacing w:after="0"/>
      </w:pPr>
    </w:p>
    <w:p>
      <w:pPr>
        <w:pStyle w:val="Heading1"/>
      </w:pPr>
      <w:r>
        <w:t>6. Author Verification Queue</w:t>
      </w:r>
    </w:p>
    <w:p>
      <w:pPr>
        <w:pStyle w:val="ListBullet"/>
        <w:spacing w:after="40"/>
      </w:pPr>
      <w:r>
        <w:t>[AUTHOR CHECK 01] Author and affiliation identities.</w:t>
      </w:r>
    </w:p>
    <w:p>
      <w:pPr>
        <w:pStyle w:val="ListBullet"/>
        <w:spacing w:after="40"/>
      </w:pPr>
      <w:r>
        <w:t>[AUTHOR CHECK 02] Hardware and software versions.</w:t>
      </w:r>
    </w:p>
    <w:p>
      <w:pPr>
        <w:pStyle w:val="ListBullet"/>
        <w:spacing w:after="40"/>
      </w:pPr>
      <w:r>
        <w:t>[AUTHOR CHECK 03] Anonymous and permanent repository links/licences.</w:t>
      </w:r>
    </w:p>
    <w:p>
      <w:pPr>
        <w:pStyle w:val="ListBullet"/>
        <w:spacing w:after="40"/>
      </w:pPr>
      <w:r>
        <w:t>[AUTHOR CHECK 04] Copernicus derivative redistribution terms.</w:t>
      </w:r>
    </w:p>
    <w:p>
      <w:pPr>
        <w:pStyle w:val="ListBullet"/>
        <w:spacing w:after="40"/>
      </w:pPr>
      <w:r>
        <w:t>[AUTHOR CHECK 05] Funding, CRediT, competing interests, acknowledgements.</w:t>
      </w:r>
    </w:p>
    <w:p>
      <w:pPr>
        <w:pStyle w:val="ListBullet"/>
        <w:spacing w:after="40"/>
      </w:pPr>
      <w:r>
        <w:t>[AUTHOR CHECK 06] Current EAAI AI disclosure wording at submission.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4748B"/>
        <w:sz w:val="16"/>
      </w:rPr>
      <w:t>Return-aware learning for mountain-road inspection planning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jc w:val="both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EAAI">
    <w:name w:val="Caption EAAI"/>
    <w:pPr>
      <w:keepNext w:val="0"/>
      <w:spacing w:after="160"/>
      <w:jc w:val="both"/>
    </w:pPr>
    <w:rPr>
      <w:rFonts w:ascii="Arial" w:hAnsi="Arial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Journal Style Profile, Evidence Matrix, and Compliance Audit</dc:title>
  <dc:subject>Engineering Applications of Artificial Intelligence submission package</dc:subject>
  <dc:creator>[AUTHOR INPUT REQUIRED]</dc:creator>
  <cp:keywords>unmanned aerial vehicle inspection, reinforcement learning, combinatorial planning, resource constraints, geographic simulation transfer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