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Highlights</w:t>
      </w:r>
    </w:p>
    <w:p>
      <w:pPr>
        <w:pStyle w:val="ListBullet"/>
      </w:pPr>
      <w:r>
        <w:t>Return-aware masking restricts selection to resource-feasible return actions.</w:t>
      </w:r>
    </w:p>
    <w:p>
      <w:pPr>
        <w:pStyle w:val="ListBullet"/>
      </w:pPr>
      <w:r>
        <w:t>Pointer learners reached similar final coverage with PPO and A2C updates.</w:t>
      </w:r>
    </w:p>
    <w:p>
      <w:pPr>
        <w:pStyle w:val="ListBullet"/>
      </w:pPr>
      <w:r>
        <w:t>Fixed-slot PPO had substantially lower coverage on synthetic and DSM maps.</w:t>
      </w:r>
    </w:p>
    <w:p>
      <w:pPr>
        <w:pStyle w:val="ListBullet"/>
      </w:pPr>
      <w:r>
        <w:t>Traditional planners improved coverage but required longer online planning.</w:t>
      </w:r>
    </w:p>
    <w:p>
      <w:pPr>
        <w:pStyle w:val="ListBullet"/>
      </w:pPr>
      <w:r>
        <w:t>Return-reserve removal caused the largest and most consistent ablation loss.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440" w:right="1440" w:bottom="1440" w:left="1440" w:header="504" w:footer="504" w:gutter="0"/>
      <w:cols w:space="3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464646"/>
        <w:sz w:val="15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360" w:after="100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 w:eastAsia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