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r>
        <w:t>[AUTHOR INPUT REQUIRED: submission date]</w:t>
      </w:r>
    </w:p>
    <w:p>
      <w:r>
        <w:t>Dear Editor,</w:t>
      </w:r>
    </w:p>
    <w:p>
      <w:r>
        <w:t xml:space="preserve">Please consider our Original Research article, “Return-aware reinforcement learning with a Pointer policy for resource-constrained mountain-road inspection planning,” for publication in </w:t>
      </w:r>
      <w:r>
        <w:rPr>
          <w:i/>
        </w:rPr>
        <w:t>Engineering Applications of Artificial Intelligence</w:t>
      </w:r>
      <w:r>
        <w:t>.</w:t>
      </w:r>
    </w:p>
    <w:p>
      <w:r>
        <w:t>The manuscript addresses an engineering problem in which an unmanned aerial vehicle must select priority-labelled fixed inspection points along mountain roads while retaining sufficient energy, distance, time and dynamic feasibility for safe return. Its artificial-intelligence contribution is a sequence-aware actor–critic that combines proximal policy optimization, a Pointer policy, priority-biased candidate encoding and a return-aware multi-resource feasibility mask. Its engineering contribution is a frozen, reproducible comparison across unseen procedural maps, Copernicus digital-surface-model simulations, conventional planners and two classes of perturbation.</w:t>
      </w:r>
    </w:p>
    <w:p>
      <w:r>
        <w:t>The study reports 21,648 audited route evaluations. The proposed model did not universally maximize coverage: ant-colony, simulated-annealing and mixed-integer planners achieved higher coverage in some settings, but with longer online planning times. The principal evidence instead shows near-identical final coverage to an advantage-actor–critic–Pointer comparator, substantially higher coverage than fixed-slot multilayer-perceptron proximal policy optimization, nearly equal corrected late-training stability with a modest validation-area-under-the-curve advantage, and a large loss when return reserve was removed. We believe this balanced result is directly aligned with EAAI’s interest in validated artificial-intelligence applications, real-time engineering use, safety and reliability.</w:t>
      </w:r>
    </w:p>
    <w:p>
      <w:r>
        <w:t>The submission is single-column and prepared for double-anonymized review. The anonymized manuscript contains no author-identifying information; the title page is separate. The abstract explicitly distinguishes the artificial-intelligence contribution from the engineering application. A reproducibility package contains the frozen protocol, results, statistical source data, figure source data, environment information and hashes. Copernicus assets are handled under their current attribution and access conditions.</w:t>
      </w:r>
    </w:p>
    <w:p>
      <w:r>
        <w:t>This work has not been published previously and is not under consideration elsewhere. All authors have approved the manuscript and agree with its submission. [AUTHOR INPUT REQUIRED: verify these declarations.] Competing interests and funding are reported on the separate title page. The authors will review and approve the generative-AI disclosure before submission.</w:t>
      </w:r>
    </w:p>
    <w:p>
      <w:r>
        <w:t>Thank you for your consideration.</w:t>
      </w:r>
    </w:p>
    <w:p>
      <w:r>
        <w:t>Sincerely,</w:t>
      </w:r>
    </w:p>
    <w:p>
      <w:r>
        <w:t>[AUTHOR INPUT REQUIRED: corresponding author name, affiliation and contact details]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69" w:after="60"/>
      <w:jc w:val="both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