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投稿信</w:t>
      </w:r>
    </w:p>
    <w:p>
      <w:r>
        <w:rPr>
          <w:rFonts w:ascii="Times New Roman" w:hAnsi="Times New Roman" w:eastAsia="宋体"/>
        </w:rPr>
        <w:t>[AUTHOR INPUT REQUIRED: 投稿日期。]</w:t>
      </w:r>
    </w:p>
    <w:p>
      <w:r>
        <w:rPr>
          <w:rFonts w:ascii="Times New Roman" w:hAnsi="Times New Roman" w:eastAsia="宋体"/>
        </w:rPr>
        <w:t>尊敬的编辑：</w:t>
      </w:r>
    </w:p>
    <w:p>
      <w:r>
        <w:rPr>
          <w:rFonts w:ascii="Times New Roman" w:hAnsi="Times New Roman" w:eastAsia="宋体"/>
        </w:rPr>
        <w:t>谨提交Original Research论文《面向资源约束山区公路巡检规划的返航感知Pointer策略强化学习》，申请在</w:t>
      </w:r>
      <w:r>
        <w:rPr>
          <w:rFonts w:ascii="Times New Roman" w:hAnsi="Times New Roman" w:eastAsia="宋体"/>
          <w:i/>
        </w:rPr>
        <w:t>Engineering Applications of Artificial Intelligence</w:t>
      </w:r>
      <w:r>
        <w:rPr>
          <w:rFonts w:ascii="Times New Roman" w:hAnsi="Times New Roman" w:eastAsia="宋体"/>
        </w:rPr>
        <w:t>发表。</w:t>
      </w:r>
    </w:p>
    <w:p>
      <w:r>
        <w:rPr>
          <w:rFonts w:ascii="Times New Roman" w:hAnsi="Times New Roman" w:eastAsia="宋体"/>
        </w:rPr>
        <w:t>本文研究的工程问题是：无人机沿山区公路选择带优先级标签的固定巡检点时，必须为安全返航保留足够的能量、航程、时间和动力学可行性。其人工智能贡献是一种序列感知演员–评论家，将近端策略优化、Pointer策略、优先级偏置候选编码和返航感知多资源可行性掩码相结合。其工程贡献是一个冻结且可复现的比较协议，覆盖未见程序化地图、Copernicus数字表面模型仿真、传统规划器和两类扰动。</w:t>
      </w:r>
    </w:p>
    <w:p>
      <w:r>
        <w:rPr>
          <w:rFonts w:ascii="Times New Roman" w:hAnsi="Times New Roman" w:eastAsia="宋体"/>
        </w:rPr>
        <w:t>本研究报告21,648条经过审计的路线评价。所提模型并未在覆盖率上普适最优：蚁群优化、模拟退火和混合整数规划在部分设置下获得更高覆盖率，但在线规划时间更长。主要证据表明，该模型与A2C–Pointer的最终覆盖率几乎相同，显著高于Flat-MLP PPO；纠正后的尾段训练稳定性近似，但验证曲线下面积具有小幅优势；移除返航储备后则出现大幅性能损失。我们认为，这一平衡结果与EAAI对经过验证的人工智能应用、实时工程使用、安全性和可靠性的关注直接一致。</w:t>
      </w:r>
    </w:p>
    <w:p>
      <w:r>
        <w:rPr>
          <w:rFonts w:ascii="Times New Roman" w:hAnsi="Times New Roman" w:eastAsia="宋体"/>
        </w:rPr>
        <w:t>稿件采用单栏格式并按双盲评审要求准备。匿名稿不包含作者身份信息，标题页单独提供。摘要明确区分人工智能贡献和工程应用。可复现包包含冻结协议、结果、统计Source Data、图件Source Data、环境信息和哈希。Copernicus资产按照其当前署名与访问条件处理。</w:t>
      </w:r>
    </w:p>
    <w:p>
      <w:r>
        <w:rPr>
          <w:rFonts w:ascii="Times New Roman" w:hAnsi="Times New Roman" w:eastAsia="宋体"/>
        </w:rPr>
        <w:t>本工作此前未发表，也未在其他期刊审理。所有作者均已批准稿件并同意投稿。[AUTHOR INPUT REQUIRED: 核验上述声明。] 利益冲突和资助情况在单独标题页报告。作者将在投稿前审阅并批准生成式人工智能使用声明。</w:t>
      </w:r>
    </w:p>
    <w:p>
      <w:r>
        <w:rPr>
          <w:rFonts w:ascii="Times New Roman" w:hAnsi="Times New Roman" w:eastAsia="宋体"/>
        </w:rPr>
        <w:t>感谢您的审阅。</w:t>
      </w:r>
    </w:p>
    <w:p>
      <w:r>
        <w:rPr>
          <w:rFonts w:ascii="Times New Roman" w:hAnsi="Times New Roman" w:eastAsia="宋体"/>
        </w:rPr>
        <w:t>此致</w:t>
      </w:r>
    </w:p>
    <w:p>
      <w:r>
        <w:rPr>
          <w:rFonts w:ascii="Times New Roman" w:hAnsi="Times New Roman" w:eastAsia="宋体"/>
        </w:rPr>
        <w:t>敬礼！</w:t>
      </w:r>
    </w:p>
    <w:p>
      <w:r>
        <w:rPr>
          <w:rFonts w:ascii="Times New Roman" w:hAnsi="Times New Roman" w:eastAsia="宋体"/>
        </w:rPr>
        <w:t>[AUTHOR INPUT REQUIRED: 通信作者姓名、单位和联系方式。]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