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补充材料</w:t>
      </w:r>
    </w:p>
    <w:p>
      <w:pPr>
        <w:pStyle w:val="Heading1"/>
      </w:pPr>
      <w:r>
        <w:t>S1. 冻结协议身份与审计轨迹</w:t>
      </w:r>
    </w:p>
    <w:p>
      <w:r>
        <w:rPr>
          <w:rFonts w:ascii="Times New Roman" w:hAnsi="Times New Roman" w:eastAsia="宋体"/>
        </w:rPr>
        <w:t>本补充材料仅对应协议v3.2.14。正式结果文件恰好包含21,648条唯一记录，路线目录包含对应的21,648条路线记录。冻结协议SHA-256为</w:t>
      </w:r>
      <w:r>
        <w:rPr>
          <w:rFonts w:ascii="Times New Roman" w:hAnsi="Times New Roman" w:eastAsia="宋体"/>
          <w:sz w:val="17"/>
        </w:rPr>
        <w:t>c0ac70fb8fac32bd60afe602b24d8534d9329e531ea381d9a73bf4237c9fbc58</w:t>
      </w:r>
      <w:r>
        <w:rPr>
          <w:rFonts w:ascii="Times New Roman" w:hAnsi="Times New Roman" w:eastAsia="宋体"/>
        </w:rPr>
        <w:t>；最终结果SHA-256为</w:t>
      </w:r>
      <w:r>
        <w:rPr>
          <w:rFonts w:ascii="Times New Roman" w:hAnsi="Times New Roman" w:eastAsia="宋体"/>
          <w:sz w:val="17"/>
        </w:rPr>
        <w:t>4b620c21566c2e33c875f6bea2017b741b02a7d30d70aa50add60a6d06214a2c</w:t>
      </w:r>
      <w:r>
        <w:rPr>
          <w:rFonts w:ascii="Times New Roman" w:hAnsi="Times New Roman" w:eastAsia="宋体"/>
        </w:rPr>
        <w:t>。历史上被排除的含注意力原型不在论文可用模型集合中。正式集合包含35个学习模型（7种变体×5个种子）和105,000个论文可用训练回合。</w:t>
      </w:r>
    </w:p>
    <w:p>
      <w:pPr>
        <w:pStyle w:val="Heading2"/>
      </w:pPr>
      <w:r>
        <w:t>表S1. 正式评价族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666666"/>
          <w:bottom w:val="single" w:sz="8" w:color="666666"/>
          <w:insideH w:val="single" w:sz="3" w:color="666666"/>
          <w:insideV w:val="nil" w:sz="0" w:color="666666"/>
          <w:left w:val="nil" w:sz="0" w:color="666666"/>
          <w:right w:val="nil" w:sz="0" w:color="666666"/>
        </w:tblBorders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评价族</w:t>
            </w:r>
          </w:p>
        </w:tc>
        <w:tc>
          <w:tcPr>
            <w:tcW w:type="dxa" w:w="2256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结果行数</w:t>
            </w:r>
          </w:p>
        </w:tc>
        <w:tc>
          <w:tcPr>
            <w:tcW w:type="dxa" w:w="2256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独立地图</w:t>
            </w:r>
          </w:p>
        </w:tc>
        <w:tc>
          <w:tcPr>
            <w:tcW w:type="dxa" w:w="2256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作用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未见合成学习模型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7,560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24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主要评价与消融评价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未见合成主要基线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3,888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24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主要传统方法比较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未见合成补充基线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504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分层子集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A*、粒子群和Pareto动态规划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DSM学习模型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5,040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地理仿真迁移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DSM代表性基线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1,152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传统方法比较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已知域偏移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1,008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规划器观测变化后的真实状态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隐藏模型/感知失配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2,496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规划状态与执行真实状态不同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合计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21,648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冻结并经过审计的证据</w:t>
            </w:r>
          </w:p>
        </w:tc>
      </w:tr>
    </w:tbl>
    <w:p>
      <w:pPr>
        <w:spacing w:after="40"/>
      </w:pPr>
    </w:p>
    <w:p>
      <w:pPr>
        <w:pStyle w:val="Heading1"/>
      </w:pPr>
      <w:r>
        <w:t>S2. 学习模型与消融</w:t>
      </w:r>
    </w:p>
    <w:p>
      <w:pPr>
        <w:pStyle w:val="Heading2"/>
      </w:pPr>
      <w:r>
        <w:t>表S2. 模型定义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666666"/>
          <w:bottom w:val="single" w:sz="8" w:color="666666"/>
          <w:insideH w:val="single" w:sz="3" w:color="666666"/>
          <w:insideV w:val="nil" w:sz="0" w:color="666666"/>
          <w:left w:val="nil" w:sz="0" w:color="666666"/>
          <w:right w:val="nil" w:sz="0" w:color="666666"/>
        </w:tblBorders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模型标签</w:t>
            </w:r>
          </w:p>
        </w:tc>
        <w:tc>
          <w:tcPr>
            <w:tcW w:type="dxa" w:w="2256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策略架构</w:t>
            </w:r>
          </w:p>
        </w:tc>
        <w:tc>
          <w:tcPr>
            <w:tcW w:type="dxa" w:w="2256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更新方式</w:t>
            </w:r>
          </w:p>
        </w:tc>
        <w:tc>
          <w:tcPr>
            <w:tcW w:type="dxa" w:w="2256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移除的组成部分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PPO–Pointer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优先级编码器+Pointer演员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PPO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A2C–Pointer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优先级编码器+Pointer演员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A2C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PPO的重复截断更新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Flat-MLP PPO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固定24节点槽+基地槽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PPO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Pointer、注意力和节点编码器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无优先级偏置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Pointer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PPO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仅移除显式加性优先级偏置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无域随机化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Pointer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PPO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参数随机化；保留多地图训练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无资源塑形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Pointer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PPO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次级增量资源项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无返航储备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Pointer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PPO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策略可见的预计返航储备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</w:rPr>
        <w:t>所有模型均采用种子42–46，每个种子训练3,000个回合。完整PPO配置采用128维候选表示、4个注意力头、优先级偏置系数0.5、学习率10^−4、截断比0.2、折扣因子0.99、广义优势参数0.95、每次更新5个epoch、最多128个转移的小批量、价值系数0.5、梯度范数上限1.0，以及由0.02退火至0.002的熵系数。这些数值是实现身份，不是为稿件事后调优的参数。</w:t>
      </w:r>
    </w:p>
    <w:p>
      <w:pPr>
        <w:pStyle w:val="Heading1"/>
      </w:pPr>
      <w:r>
        <w:t>S3. 观测与可行性定义</w:t>
      </w:r>
    </w:p>
    <w:p>
      <w:r>
        <w:rPr>
          <w:rFonts w:ascii="Times New Roman" w:hAnsi="Times New Roman" w:eastAsia="宋体"/>
        </w:rPr>
        <w:t>每个候选标记含15个特征：相对x、y、z位置；归一化优先级；已访问和基地标志；去程航程、能量和时间比例；预计返程航程、能量和时间比例；以及3个归一化去程风分量。飞行器向量含14个特征：相对基地的位置、上一航向、剩余能量/航程/时间比例、普通覆盖率和优先级加权覆盖率，以及局部三分量风向量。</w:t>
      </w:r>
    </w:p>
    <w:p>
      <w:r>
        <w:rPr>
          <w:rFonts w:ascii="Times New Roman" w:hAnsi="Times New Roman" w:eastAsia="宋体"/>
        </w:rPr>
        <w:t>合法集合是访问、能量、航程、时间和动力学掩码的合取。对于巡检候选点，资源检查包括去程航段、服务需求和预计返航段。无返航储备消融仅放宽策略可见储备。仿真器仍保留完整执行检查，并将新暴露但实际不可行的提议标记为搁浅，而不执行该航段。因此，该实验测量的是仿真中的规划安全机制，不是物理危险暴露。</w:t>
      </w:r>
    </w:p>
    <w:p>
      <w:pPr>
        <w:pStyle w:val="Heading1"/>
      </w:pPr>
      <w:r>
        <w:t>S4. 地图/任务析因设计</w:t>
      </w:r>
    </w:p>
    <w:p>
      <w:r>
        <w:rPr>
          <w:rFonts w:ascii="Times New Roman" w:hAnsi="Times New Roman" w:eastAsia="宋体"/>
        </w:rPr>
        <w:t>程序化训练、验证和未见测试划分分别包含72/12/24张地图和648/108/216个任务。每张地图支持16、20和24节点，中等、困难和极端难度，能量、航程、时间和混合约束，以及多种优先级布局的析因变化。由于3种节点数均进入训练，分规模结果属于训练范围内性能。</w:t>
      </w:r>
    </w:p>
    <w:p>
      <w:r>
        <w:rPr>
          <w:rFonts w:ascii="Times New Roman" w:hAnsi="Times New Roman" w:eastAsia="宋体"/>
        </w:rPr>
        <w:t>8个Copernicus DEM GLO-30数字表面模型资产构成地理仿真集合。每张地图使用2个确定性公路/起飞点情境，共144个任务。数字表面模型是仿真器的地形输入；本研究未收集飞行、感知或巡检图像数据。</w:t>
      </w:r>
    </w:p>
    <w:p>
      <w:pPr>
        <w:pStyle w:val="Heading1"/>
      </w:pPr>
      <w:r>
        <w:t>S5. 地图级主要结果</w:t>
      </w:r>
    </w:p>
    <w:p>
      <w:pPr>
        <w:pStyle w:val="Heading2"/>
      </w:pPr>
      <w:r>
        <w:t>表S3. 各地图安全加权覆盖率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666666"/>
          <w:bottom w:val="single" w:sz="8" w:color="666666"/>
          <w:insideH w:val="single" w:sz="3" w:color="666666"/>
          <w:insideV w:val="nil" w:sz="0" w:color="666666"/>
          <w:left w:val="nil" w:sz="0" w:color="666666"/>
          <w:right w:val="nil" w:sz="0" w:color="666666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 w:val="true"/>
        </w:trPr>
        <w:tc>
          <w:tcPr>
            <w:tcW w:type="dxa" w:w="1289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评价族</w:t>
            </w:r>
          </w:p>
        </w:tc>
        <w:tc>
          <w:tcPr>
            <w:tcW w:type="dxa" w:w="1289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算法</w:t>
            </w:r>
          </w:p>
        </w:tc>
        <w:tc>
          <w:tcPr>
            <w:tcW w:type="dxa" w:w="1289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地图数</w:t>
            </w:r>
          </w:p>
        </w:tc>
        <w:tc>
          <w:tcPr>
            <w:tcW w:type="dxa" w:w="1289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均值</w:t>
            </w:r>
          </w:p>
        </w:tc>
        <w:tc>
          <w:tcPr>
            <w:tcW w:type="dxa" w:w="1289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中位数</w:t>
            </w:r>
          </w:p>
        </w:tc>
        <w:tc>
          <w:tcPr>
            <w:tcW w:type="dxa" w:w="1289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Q1</w:t>
            </w:r>
          </w:p>
        </w:tc>
        <w:tc>
          <w:tcPr>
            <w:tcW w:type="dxa" w:w="1289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Q3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PPO–Pointer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24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0.4858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0.4829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0.4683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0.5042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A2C–Pointer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24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0.4850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0.4846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0.4700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0.4991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Flat-MLP PPO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24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0.2686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0.2713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0.2536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0.2835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ACO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24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0.5525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0.5543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0.5370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0.5663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SA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24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0.5436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0.5458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0.5295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0.5601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MILP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24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0.5711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0.5726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0.5560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0.5852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PPO–Pointer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0.5024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0.5006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0.4960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0.5086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A2C–Pointer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0.5025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0.4975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0.4920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0.5100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Flat-MLP PPO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0.2658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0.2706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0.2561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0.2730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ACO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0.5599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0.5603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0.5482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0.5649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MILP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0.5829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0.5850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0.5783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0.5888</w:t>
            </w:r>
          </w:p>
        </w:tc>
      </w:tr>
    </w:tbl>
    <w:p>
      <w:pPr>
        <w:spacing w:after="40"/>
      </w:pPr>
    </w:p>
    <w:p>
      <w:pPr>
        <w:pStyle w:val="Heading2"/>
      </w:pPr>
      <w:r>
        <w:t>表S4. 相对PPO–Pointer的选定配对比较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666666"/>
          <w:bottom w:val="single" w:sz="8" w:color="666666"/>
          <w:insideH w:val="single" w:sz="3" w:color="666666"/>
          <w:insideV w:val="nil" w:sz="0" w:color="666666"/>
          <w:left w:val="nil" w:sz="0" w:color="666666"/>
          <w:right w:val="nil" w:sz="0" w:color="666666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 w:val="true"/>
        </w:trPr>
        <w:tc>
          <w:tcPr>
            <w:tcW w:type="dxa" w:w="1504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评价族</w:t>
            </w:r>
          </w:p>
        </w:tc>
        <w:tc>
          <w:tcPr>
            <w:tcW w:type="dxa" w:w="1504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对比方法</w:t>
            </w:r>
          </w:p>
        </w:tc>
        <w:tc>
          <w:tcPr>
            <w:tcW w:type="dxa" w:w="1504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均值差</w:t>
            </w:r>
          </w:p>
        </w:tc>
        <w:tc>
          <w:tcPr>
            <w:tcW w:type="dxa" w:w="1504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95% bootstrap区间</w:t>
            </w:r>
          </w:p>
        </w:tc>
        <w:tc>
          <w:tcPr>
            <w:tcW w:type="dxa" w:w="1504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Holm p</w:t>
            </w:r>
          </w:p>
        </w:tc>
        <w:tc>
          <w:tcPr>
            <w:tcW w:type="dxa" w:w="1504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解释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合成主要比较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Flat-MLP PPO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0.2172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0.1958至0.2393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9.54 × 10^−7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PPO–Pointer更高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合成主要比较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A2C–Pointer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0.0008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−0.0057至0.0069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0.845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未检出差异；不代表等效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合成主要比较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ACO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−0.0667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−0.0814至−0.0534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9.54 × 10^−7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ACO更高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合成主要比较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SA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−0.0578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−0.0729至−0.0432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9.54 × 10^−7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SA更高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合成主要比较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MILP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−0.0853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−0.0999至−0.0722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9.54 × 10^−7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MILP更高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DSM主要比较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Flat-MLP PPO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0.2366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0.2123至0.2618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0.0469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PPO–Pointer更高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DSM主要比较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A2C–Pointer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−0.00001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−0.0090至0.0090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0.742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未检出差异；不代表等效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DSM主要比较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ACO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−0.0575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−0.0706至−0.0456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0.0469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ACO更高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DSM主要比较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MILP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−0.0805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−0.0956至−0.0658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0.0469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MILP更高</w:t>
            </w:r>
          </w:p>
        </w:tc>
      </w:tr>
    </w:tbl>
    <w:p>
      <w:pPr>
        <w:spacing w:after="40"/>
      </w:pPr>
    </w:p>
    <w:p>
      <w:pPr>
        <w:pStyle w:val="Heading1"/>
      </w:pPr>
      <w:r>
        <w:t>S6. 消融测试</w:t>
      </w:r>
    </w:p>
    <w:p>
      <w:pPr>
        <w:pStyle w:val="Heading2"/>
      </w:pPr>
      <w:r>
        <w:t>表S5. 完整模型减消融模型的差值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666666"/>
          <w:bottom w:val="single" w:sz="8" w:color="666666"/>
          <w:insideH w:val="single" w:sz="3" w:color="666666"/>
          <w:insideV w:val="nil" w:sz="0" w:color="666666"/>
          <w:left w:val="nil" w:sz="0" w:color="666666"/>
          <w:right w:val="nil" w:sz="0" w:color="666666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评价族</w:t>
            </w:r>
          </w:p>
        </w:tc>
        <w:tc>
          <w:tcPr>
            <w:tcW w:type="dxa" w:w="1805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消融</w:t>
            </w:r>
          </w:p>
        </w:tc>
        <w:tc>
          <w:tcPr>
            <w:tcW w:type="dxa" w:w="1805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均值差</w:t>
            </w:r>
          </w:p>
        </w:tc>
        <w:tc>
          <w:tcPr>
            <w:tcW w:type="dxa" w:w="1805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95% bootstrap区间</w:t>
            </w:r>
          </w:p>
        </w:tc>
        <w:tc>
          <w:tcPr>
            <w:tcW w:type="dxa" w:w="1805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Holm p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无优先级偏置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0.0010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−0.0066至0.0087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1.000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无域随机化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0.0012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−0.0071至0.0095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1.000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无资源塑形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0.0018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−0.0050至0.0083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0.506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无返航储备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0.3725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0.3434至0.4018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4.77 × 10^−7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无优先级偏置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−0.0006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−0.0097至0.0085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1.000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无域随机化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0.0009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−0.0088至0.0121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1.000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无资源塑形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0.0001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−0.0083至0.0082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1.000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无返航储备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0.3904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0.3563至0.4245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0.0313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隐藏失配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无返航储备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0.3174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0.2460至0.4042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0.0391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</w:rPr>
        <w:t>前三项消融对主要终点的平均证据有限。其非显著差异不是等效性检验。最后几行仅适用于复合返航感知机制。</w:t>
      </w:r>
    </w:p>
    <w:p>
      <w:pPr>
        <w:pStyle w:val="Heading1"/>
      </w:pPr>
      <w:r>
        <w:t>S7. 训练感知的事后分析</w:t>
      </w:r>
    </w:p>
    <w:p>
      <w:r>
        <w:rPr>
          <w:rFonts w:ascii="Times New Roman" w:hAnsi="Times New Roman" w:eastAsia="宋体"/>
        </w:rPr>
        <w:t>纠正分析只使用正式的固定108任务外部验证轨迹。D6在3,000回合预算的最后20%内，以60%跨种子一致性和40%种子内时间一致性组成。完整PPO–Pointer和A2C–Pointer分别为0.9978和0.9971；配对种子均值差为0.00069，10,000次bootstrap区间跨越0（−0.00060至0.00173）。D7为共同环境交互窗口80–17,702内验证安全加权覆盖率的归一化曲线下面积，两者分别为0.4872和0.4781；差值为0.00913，bootstrap区间为0.00491至0.01331。两个维度的五配对种子Holm校正p值均为0.125。尾段窗口（10%、20%、30%）和交互预算（50%、75%、100%）作为敏感性分析报告。因此，这些事后维度支持稳定性近似和小幅曲线下面积差异，而不是在α = 0.05水平单独确认的优势。</w:t>
      </w:r>
    </w:p>
    <w:p>
      <w:r>
        <w:rPr>
          <w:rFonts w:ascii="Times New Roman" w:hAnsi="Times New Roman" w:eastAsia="宋体"/>
        </w:rPr>
        <w:t>纠正D6和D7并保留冻结默认权重与0.60运行区间下限后，100分算术摘要为PPO–Pointer 58.975分、A2C–Pointer 58.566分、Flat-MLP PPO 54.874分。地图外层分层bootstrap估计PPO减A2C得分差为0.393分（95%区间−0.075至1.099；10,000次重采样；正差概率0.912），确定性摘要差为0.409分。该得分在结果可用后设计，组合了异质维度，并随权重和归一化选择变化。它仅为诊断摘要，不能替代安全加权覆盖率。</w:t>
      </w:r>
    </w:p>
    <w:p>
      <w:pPr>
        <w:pStyle w:val="Heading1"/>
      </w:pPr>
      <w:r>
        <w:t>S8. 传统规划器状态与计算</w:t>
      </w:r>
    </w:p>
    <w:p>
      <w:r>
        <w:rPr>
          <w:rFonts w:ascii="Times New Roman" w:hAnsi="Times New Roman" w:eastAsia="宋体"/>
        </w:rPr>
        <w:t>合成平均规划时间分别为PPO–Pointer 1.168 s、模拟退火3.832 s、混合整数规划20.807 s和蚁群优化76.701 s。这些时间对应冻结硬件、软件和实现。混合整数记录保留终止状态、当前最优目标、对偶界和间隙。达到时间限制的可行当前最优解不会被描述为经过证明的最优解。</w:t>
      </w:r>
    </w:p>
    <w:p>
      <w:pPr>
        <w:pStyle w:val="Heading1"/>
      </w:pPr>
      <w:r>
        <w:t>S9. 补充图登记</w:t>
      </w:r>
    </w:p>
    <w:p>
      <w:pPr>
        <w:pStyle w:val="ListBullet"/>
      </w:pPr>
      <w:r>
        <w:t>图S1：完整算法集合的性能剖面。</w:t>
      </w:r>
    </w:p>
    <w:p>
      <w:pPr>
        <w:pStyle w:val="ListBullet"/>
      </w:pPr>
      <w:r>
        <w:t>图S2：质量–在线时间Pareto展示。</w:t>
      </w:r>
    </w:p>
    <w:p>
      <w:pPr>
        <w:pStyle w:val="ListBullet"/>
      </w:pPr>
      <w:r>
        <w:t>图S3：Oracle遗憾与计算代价。</w:t>
      </w:r>
    </w:p>
    <w:p>
      <w:pPr>
        <w:pStyle w:val="ListBullet"/>
      </w:pPr>
      <w:r>
        <w:t>图S4：完整5种子训练曲线。</w:t>
      </w:r>
    </w:p>
    <w:p>
      <w:pPr>
        <w:pStyle w:val="ListBullet"/>
      </w:pPr>
      <w:r>
        <w:t>图S5：事后得分与权重敏感性。</w:t>
      </w:r>
    </w:p>
    <w:p>
      <w:pPr>
        <w:pStyle w:val="ListBullet"/>
      </w:pPr>
      <w:r>
        <w:t>图S6：按地图统计的消融效应。</w:t>
      </w:r>
    </w:p>
    <w:p>
      <w:pPr>
        <w:pStyle w:val="ListBullet"/>
      </w:pPr>
      <w:r>
        <w:t>图S7：鲁棒性失败与终止模式。</w:t>
      </w:r>
    </w:p>
    <w:p>
      <w:pPr>
        <w:pStyle w:val="ListBullet"/>
      </w:pPr>
      <w:r>
        <w:t>图S8：DSM地图代表性路线图集。</w:t>
      </w:r>
    </w:p>
    <w:p>
      <w:pPr>
        <w:pStyle w:val="ListBullet"/>
      </w:pPr>
      <w:r>
        <w:t>图V1：三维路线示意；非推断性。</w:t>
      </w:r>
    </w:p>
    <w:p>
      <w:pPr>
        <w:pStyle w:val="ListBullet"/>
      </w:pPr>
      <w:r>
        <w:t>图V2：结果流示意；非推断性。</w:t>
      </w:r>
    </w:p>
    <w:p>
      <w:pPr>
        <w:pStyle w:val="Heading1"/>
      </w:pPr>
      <w:r>
        <w:t>S10. 可复现性与再分发说明</w:t>
      </w:r>
    </w:p>
    <w:p>
      <w:r>
        <w:rPr>
          <w:rFonts w:ascii="Times New Roman" w:hAnsi="Times New Roman" w:eastAsia="宋体"/>
        </w:rPr>
        <w:t>可复现包提供冻结协议、分析协议、任务/评价矩阵、最终结果、统计、Source Data、环境说明、模型元数据、文件哈希和复现命令。只有在许可状态允许时才纳入可公开再分发的参考文献；出版社或学校权限论文提供DOI/出版社链接，而不是复制PDF。Copernicus原始资产单独处理：数据包记录产品、区域标识、署名和重建流程，不假定本地原始文件在未核验当前访问条款的情况下可以再分发。</w:t>
      </w:r>
    </w:p>
    <w:p>
      <w:pPr>
        <w:pStyle w:val="Heading1"/>
      </w:pPr>
      <w:r>
        <w:t>S11. 作者核验事项</w:t>
      </w:r>
    </w:p>
    <w:p>
      <w:r>
        <w:rPr>
          <w:rFonts w:ascii="Times New Roman" w:hAnsi="Times New Roman" w:eastAsia="宋体"/>
        </w:rPr>
        <w:t>[AUTHOR INPUT REQUIRED: 永久仓库DOI或URL。]</w:t>
      </w:r>
    </w:p>
    <w:p>
      <w:r>
        <w:rPr>
          <w:rFonts w:ascii="Times New Roman" w:hAnsi="Times New Roman" w:eastAsia="宋体"/>
        </w:rPr>
        <w:t>[AUTHOR INPUT REQUIRED: 确认可公开发布的Copernicus区域标识。]</w:t>
      </w:r>
    </w:p>
    <w:p>
      <w:r>
        <w:rPr>
          <w:rFonts w:ascii="Times New Roman" w:hAnsi="Times New Roman" w:eastAsia="宋体"/>
        </w:rPr>
        <w:t>[AUTHOR INPUT REQUIRED: 核验生成式人工智能声明及全部作者侧声明。]</w:t>
      </w:r>
    </w:p>
    <w:p>
      <w:r>
        <w:br w:type="page"/>
      </w:r>
    </w:p>
    <w:p>
      <w:pPr>
        <w:pStyle w:val="Heading1"/>
      </w:pPr>
      <w:r>
        <w:t>补充图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355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_z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5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图S1. 全部冻结算法的遗憾性能剖面。每条曲线是给定任务集合上的经验累积分布；该面板为描述性结果，不改变地图级推断单位。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5923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_z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9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图S2. 使用D1和协议特定规划时间第95百分位表示合成任务与DSM任务的覆盖率–时间权衡。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5923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z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9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图S3. 传统规划器的Oracle遗憾区间与规划时间。必须结合求解器状态和认证比例解释这些数值。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7346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z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34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图S4. 3种主要学习模型按情境分层的平均D1。情境单元格是描述性分层，不是独立重复单位。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65306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z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530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图S5. 已知偏移和隐藏失配下的鲁棒性与失败模式比例。数值为冻结任务聚合；安全率和返航率不构成飞行认证证据。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6000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6_z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0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图S6. 7种论文可用学习变体的训练批次优先级加权覆盖率。曲线汇总每个模型5个种子、3,000个回合的训练过程；该指标不是外部验证覆盖率，也不是原始reward。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4170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7_z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17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图S7. 7个归一化维度及纠正后的事后100分算术综合得分。D6与D7使用正式108任务验证轨迹；该得分具有探索性并依赖权重，不是确认性终点。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2051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8_z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05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图S8. 纠正两个训练维度后，PPO–Pointer第一名占比对D6+D7总权重和运行区间下限的联合敏感性。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54423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1_z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442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图S9. 一个固定合成任务的代表性路线。该面板仅用于示意，不用于统计推断。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9624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2_DSM_route_z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6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图S10. 带高程和公路情境的一个固定DSM任务代表性路线。该图属于零样本仿真迁移示意，而不是现场验证。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440" w:right="1440" w:bottom="1440" w:left="1440" w:header="504" w:footer="504" w:gutter="0"/>
      <w:cols w:space="3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464646"/>
        <w:sz w:val="15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auto" w:line="360" w:after="100"/>
      <w:jc w:val="both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Times New Roman" w:hAnsi="Times New Roman" w:eastAsia="Microsoft YaHe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/>
      <w:spacing w:after="160"/>
      <w:jc w:val="both"/>
    </w:pPr>
    <w:rPr>
      <w:rFonts w:ascii="Times New Roman" w:hAnsi="Times New Roman" w:eastAsia="宋体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