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80"/>
        <w:jc w:val="center"/>
      </w:pPr>
      <w:r>
        <w:rPr>
          <w:rFonts w:ascii="Arial" w:cs="Arial" w:eastAsia="Arial" w:hAnsi="Arial"/>
          <w:b/>
          <w:bCs/>
          <w:color w:val="1A56C4"/>
          <w:sz w:val="52"/>
          <w:szCs w:val="52"/>
        </w:rPr>
        <w:t xml:space="preserve">QLINIQIT</w:t>
      </w:r>
    </w:p>
    <w:p>
      <w:pPr>
        <w:pBdr>
          <w:bottom w:val="single" w:color="1A56C4" w:sz="6"/>
        </w:pBdr>
        <w:spacing w:after="80"/>
        <w:jc w:val="center"/>
      </w:pPr>
      <w:r>
        <w:rPr>
          <w:rFonts w:ascii="Arial" w:cs="Arial" w:eastAsia="Arial" w:hAnsi="Arial"/>
          <w:b/>
          <w:bCs/>
          <w:color w:val="1E293B"/>
          <w:sz w:val="36"/>
          <w:szCs w:val="36"/>
        </w:rPr>
        <w:t xml:space="preserve">Business Associate Agreement</w:t>
      </w:r>
    </w:p>
    <w:p>
      <w:pPr>
        <w:spacing w:after="80" w:before="160"/>
        <w:jc w:val="center"/>
      </w:pPr>
      <w:r>
        <w:rPr>
          <w:rFonts w:ascii="Arial" w:cs="Arial" w:eastAsia="Arial" w:hAnsi="Arial"/>
          <w:i/>
          <w:iCs/>
          <w:color w:val="64748B"/>
          <w:sz w:val="22"/>
          <w:szCs w:val="22"/>
        </w:rPr>
        <w:t xml:space="preserve">HIPAA-Compliant Template</w:t>
      </w:r>
    </w:p>
    <w:p>
      <w:pPr>
        <w:spacing w:after="480"/>
        <w:jc w:val="center"/>
      </w:pPr>
      <w:r>
        <w:rPr>
          <w:rFonts w:ascii="Arial" w:cs="Arial" w:eastAsia="Arial" w:hAnsi="Arial"/>
          <w:color w:val="64748B"/>
          <w:sz w:val="20"/>
          <w:szCs w:val="20"/>
        </w:rPr>
        <w:t xml:space="preserve">Effective Date: [DATE]</w:t>
      </w:r>
    </w:p>
    <w:p>
      <w:pPr>
        <w:spacing w:after="160"/>
      </w:pPr>
      <w:r>
        <w:rPr>
          <w:b/>
          <w:bCs/>
        </w:rPr>
        <w:t xml:space="preserve">This Business Associate Agreement ("BAA" or "Agreement") is entered into as of [DATE] between:</w:t>
      </w:r>
    </w:p>
    <w:p>
      <w:pPr>
        <w:spacing w:after="160"/>
      </w:pPr>
      <w:r>
        <w:t xml:space="preserve">Covered Entity: Qliniqit, operating at www.qliniqit.com ("CE")</w:t>
      </w:r>
    </w:p>
    <w:p>
      <w:pPr>
        <w:spacing w:after="160"/>
      </w:pPr>
      <w:r>
        <w:t xml:space="preserve">Business Associate: [VENDOR NAME] ("BA")</w:t>
      </w:r>
    </w:p>
    <w:p>
      <w:pPr>
        <w:spacing w:after="160"/>
      </w:pPr>
      <w:r>
        <w:t xml:space="preserve">collectively referred to as the "Parties."</w:t>
      </w:r>
    </w:p>
    <w:p>
      <w:r>
        <w:t xml:space="preserve"/>
      </w:r>
    </w:p>
    <w:p>
      <w:pPr>
        <w:pStyle w:val="Heading1"/>
      </w:pPr>
      <w:r>
        <w:t xml:space="preserve">1. Definitions</w:t>
      </w:r>
    </w:p>
    <w:p>
      <w:pPr>
        <w:spacing w:after="160"/>
      </w:pPr>
      <w:r>
        <w:t xml:space="preserve">The following terms have the meanings given under HIPAA (45 CFR Parts 160 and 164):</w:t>
      </w:r>
    </w:p>
    <w:p>
      <w:pPr>
        <w:pStyle w:val="ListParagraph"/>
        <w:numPr>
          <w:ilvl w:val="0"/>
          <w:numId w:val="2"/>
        </w:numPr>
        <w:spacing w:after="80"/>
      </w:pPr>
      <w:r>
        <w:rPr>
          <w:rFonts w:ascii="Arial" w:cs="Arial" w:eastAsia="Arial" w:hAnsi="Arial"/>
          <w:sz w:val="22"/>
          <w:szCs w:val="22"/>
        </w:rPr>
        <w:t xml:space="preserve">Protected Health Information (PHI): individually identifiable health information transmitted or maintained in any form</w:t>
      </w:r>
    </w:p>
    <w:p>
      <w:pPr>
        <w:pStyle w:val="ListParagraph"/>
        <w:numPr>
          <w:ilvl w:val="0"/>
          <w:numId w:val="2"/>
        </w:numPr>
        <w:spacing w:after="80"/>
      </w:pPr>
      <w:r>
        <w:rPr>
          <w:rFonts w:ascii="Arial" w:cs="Arial" w:eastAsia="Arial" w:hAnsi="Arial"/>
          <w:sz w:val="22"/>
          <w:szCs w:val="22"/>
        </w:rPr>
        <w:t xml:space="preserve">Electronic PHI (ePHI): PHI transmitted or maintained in electronic form</w:t>
      </w:r>
    </w:p>
    <w:p>
      <w:pPr>
        <w:pStyle w:val="ListParagraph"/>
        <w:numPr>
          <w:ilvl w:val="0"/>
          <w:numId w:val="2"/>
        </w:numPr>
        <w:spacing w:after="80"/>
      </w:pPr>
      <w:r>
        <w:rPr>
          <w:rFonts w:ascii="Arial" w:cs="Arial" w:eastAsia="Arial" w:hAnsi="Arial"/>
          <w:sz w:val="22"/>
          <w:szCs w:val="22"/>
        </w:rPr>
        <w:t xml:space="preserve">Covered Entity (CE): a healthcare provider, health plan, or healthcare clearinghouse subject to HIPAA</w:t>
      </w:r>
    </w:p>
    <w:p>
      <w:pPr>
        <w:pStyle w:val="ListParagraph"/>
        <w:numPr>
          <w:ilvl w:val="0"/>
          <w:numId w:val="2"/>
        </w:numPr>
        <w:spacing w:after="80"/>
      </w:pPr>
      <w:r>
        <w:rPr>
          <w:rFonts w:ascii="Arial" w:cs="Arial" w:eastAsia="Arial" w:hAnsi="Arial"/>
          <w:sz w:val="22"/>
          <w:szCs w:val="22"/>
        </w:rPr>
        <w:t xml:space="preserve">Business Associate (BA): a person or entity that performs functions or activities involving the use or disclosure of PHI on behalf of a CE</w:t>
      </w:r>
    </w:p>
    <w:p>
      <w:pPr>
        <w:pStyle w:val="ListParagraph"/>
        <w:numPr>
          <w:ilvl w:val="0"/>
          <w:numId w:val="2"/>
        </w:numPr>
        <w:spacing w:after="80"/>
      </w:pPr>
      <w:r>
        <w:rPr>
          <w:rFonts w:ascii="Arial" w:cs="Arial" w:eastAsia="Arial" w:hAnsi="Arial"/>
          <w:sz w:val="22"/>
          <w:szCs w:val="22"/>
        </w:rPr>
        <w:t xml:space="preserve">Breach: unauthorized acquisition, access, use, or disclosure of PHI that compromises its security or privacy</w:t>
      </w:r>
    </w:p>
    <w:p>
      <w:pPr>
        <w:pStyle w:val="ListParagraph"/>
        <w:numPr>
          <w:ilvl w:val="0"/>
          <w:numId w:val="2"/>
        </w:numPr>
        <w:spacing w:after="80"/>
      </w:pPr>
      <w:r>
        <w:rPr>
          <w:rFonts w:ascii="Arial" w:cs="Arial" w:eastAsia="Arial" w:hAnsi="Arial"/>
          <w:sz w:val="22"/>
          <w:szCs w:val="22"/>
        </w:rPr>
        <w:t xml:space="preserve">HIPAA Rules: the HIPAA Privacy Rule (45 CFR Part 164, Subparts A and E), Security Rule (Subparts A and C), and Breach Notification Rule (Subpart D)</w:t>
      </w:r>
    </w:p>
    <w:p>
      <w:r>
        <w:t xml:space="preserve"/>
      </w:r>
    </w:p>
    <w:p>
      <w:pPr>
        <w:pStyle w:val="Heading1"/>
      </w:pPr>
      <w:r>
        <w:t xml:space="preserve">2. Permitted Uses and Disclosures by BA</w:t>
      </w:r>
    </w:p>
    <w:p>
      <w:pPr>
        <w:spacing w:after="160"/>
      </w:pPr>
      <w:r>
        <w:t xml:space="preserve">The BA may use or disclose PHI only:</w:t>
      </w:r>
    </w:p>
    <w:p>
      <w:pPr>
        <w:pStyle w:val="ListParagraph"/>
        <w:numPr>
          <w:ilvl w:val="0"/>
          <w:numId w:val="3"/>
        </w:numPr>
        <w:spacing w:after="80"/>
      </w:pPr>
      <w:r>
        <w:rPr>
          <w:rFonts w:ascii="Arial" w:cs="Arial" w:eastAsia="Arial" w:hAnsi="Arial"/>
          <w:sz w:val="22"/>
          <w:szCs w:val="22"/>
        </w:rPr>
        <w:t xml:space="preserve">As necessary to perform the services described in the underlying services agreement between the Parties</w:t>
      </w:r>
    </w:p>
    <w:p>
      <w:pPr>
        <w:pStyle w:val="ListParagraph"/>
        <w:numPr>
          <w:ilvl w:val="0"/>
          <w:numId w:val="3"/>
        </w:numPr>
        <w:spacing w:after="80"/>
      </w:pPr>
      <w:r>
        <w:rPr>
          <w:rFonts w:ascii="Arial" w:cs="Arial" w:eastAsia="Arial" w:hAnsi="Arial"/>
          <w:sz w:val="22"/>
          <w:szCs w:val="22"/>
        </w:rPr>
        <w:t xml:space="preserve">As required by law</w:t>
      </w:r>
    </w:p>
    <w:p>
      <w:pPr>
        <w:pStyle w:val="ListParagraph"/>
        <w:numPr>
          <w:ilvl w:val="0"/>
          <w:numId w:val="3"/>
        </w:numPr>
        <w:spacing w:after="80"/>
      </w:pPr>
      <w:r>
        <w:rPr>
          <w:rFonts w:ascii="Arial" w:cs="Arial" w:eastAsia="Arial" w:hAnsi="Arial"/>
          <w:sz w:val="22"/>
          <w:szCs w:val="22"/>
        </w:rPr>
        <w:t xml:space="preserve">For BA's proper management and administration, provided disclosures are required by law or the BA obtains reasonable assurances that the recipient will maintain confidentiality</w:t>
      </w:r>
    </w:p>
    <w:p>
      <w:pPr>
        <w:spacing w:after="160"/>
      </w:pPr>
      <w:r>
        <w:t xml:space="preserve">The BA shall not use or disclose PHI in a manner that would violate the HIPAA Privacy Rule if done by the CE, except as permitted herein.</w:t>
      </w:r>
    </w:p>
    <w:p>
      <w:r>
        <w:t xml:space="preserve"/>
      </w:r>
    </w:p>
    <w:p>
      <w:pPr>
        <w:pStyle w:val="Heading1"/>
      </w:pPr>
      <w:r>
        <w:t xml:space="preserve">3. Safeguards</w:t>
      </w:r>
    </w:p>
    <w:p>
      <w:pPr>
        <w:spacing w:after="160"/>
      </w:pPr>
      <w:r>
        <w:t xml:space="preserve">The BA agrees to:</w:t>
      </w:r>
    </w:p>
    <w:p>
      <w:pPr>
        <w:pStyle w:val="ListParagraph"/>
        <w:numPr>
          <w:ilvl w:val="0"/>
          <w:numId w:val="3"/>
        </w:numPr>
        <w:spacing w:after="80"/>
      </w:pPr>
      <w:r>
        <w:rPr>
          <w:rFonts w:ascii="Arial" w:cs="Arial" w:eastAsia="Arial" w:hAnsi="Arial"/>
          <w:sz w:val="22"/>
          <w:szCs w:val="22"/>
        </w:rPr>
        <w:t xml:space="preserve">Implement and maintain appropriate administrative, physical, and technical safeguards to protect PHI and ePHI in accordance with the HIPAA Security Rule (45 CFR Sections 164.308, 164.310, and 164.312)</w:t>
      </w:r>
    </w:p>
    <w:p>
      <w:pPr>
        <w:pStyle w:val="ListParagraph"/>
        <w:numPr>
          <w:ilvl w:val="0"/>
          <w:numId w:val="3"/>
        </w:numPr>
        <w:spacing w:after="80"/>
      </w:pPr>
      <w:r>
        <w:rPr>
          <w:rFonts w:ascii="Arial" w:cs="Arial" w:eastAsia="Arial" w:hAnsi="Arial"/>
          <w:sz w:val="22"/>
          <w:szCs w:val="22"/>
        </w:rPr>
        <w:t xml:space="preserve">Encrypt all ePHI at rest (AES-256) and in transit (TLS 1.2+)</w:t>
      </w:r>
    </w:p>
    <w:p>
      <w:pPr>
        <w:pStyle w:val="ListParagraph"/>
        <w:numPr>
          <w:ilvl w:val="0"/>
          <w:numId w:val="3"/>
        </w:numPr>
        <w:spacing w:after="80"/>
      </w:pPr>
      <w:r>
        <w:rPr>
          <w:rFonts w:ascii="Arial" w:cs="Arial" w:eastAsia="Arial" w:hAnsi="Arial"/>
          <w:sz w:val="22"/>
          <w:szCs w:val="22"/>
        </w:rPr>
        <w:t xml:space="preserve">Implement access controls ensuring only authorized personnel access PHI</w:t>
      </w:r>
    </w:p>
    <w:p>
      <w:pPr>
        <w:pStyle w:val="ListParagraph"/>
        <w:numPr>
          <w:ilvl w:val="0"/>
          <w:numId w:val="3"/>
        </w:numPr>
        <w:spacing w:after="80"/>
      </w:pPr>
      <w:r>
        <w:rPr>
          <w:rFonts w:ascii="Arial" w:cs="Arial" w:eastAsia="Arial" w:hAnsi="Arial"/>
          <w:sz w:val="22"/>
          <w:szCs w:val="22"/>
        </w:rPr>
        <w:t xml:space="preserve">Maintain a security incident response plan</w:t>
      </w:r>
    </w:p>
    <w:p>
      <w:pPr>
        <w:pStyle w:val="ListParagraph"/>
        <w:numPr>
          <w:ilvl w:val="0"/>
          <w:numId w:val="3"/>
        </w:numPr>
        <w:spacing w:after="80"/>
      </w:pPr>
      <w:r>
        <w:rPr>
          <w:rFonts w:ascii="Arial" w:cs="Arial" w:eastAsia="Arial" w:hAnsi="Arial"/>
          <w:sz w:val="22"/>
          <w:szCs w:val="22"/>
        </w:rPr>
        <w:t xml:space="preserve">Conduct regular risk assessments and document findings</w:t>
      </w:r>
    </w:p>
    <w:p>
      <w:r>
        <w:t xml:space="preserve"/>
      </w:r>
    </w:p>
    <w:p>
      <w:pPr>
        <w:pStyle w:val="Heading1"/>
      </w:pPr>
      <w:r>
        <w:t xml:space="preserve">4. Breach Notification</w:t>
      </w:r>
    </w:p>
    <w:p>
      <w:pPr>
        <w:spacing w:after="160"/>
      </w:pPr>
      <w:r>
        <w:t xml:space="preserve">The BA shall:</w:t>
      </w:r>
    </w:p>
    <w:p>
      <w:pPr>
        <w:pStyle w:val="ListParagraph"/>
        <w:numPr>
          <w:ilvl w:val="0"/>
          <w:numId w:val="3"/>
        </w:numPr>
        <w:spacing w:after="80"/>
      </w:pPr>
      <w:r>
        <w:rPr>
          <w:rFonts w:ascii="Arial" w:cs="Arial" w:eastAsia="Arial" w:hAnsi="Arial"/>
          <w:sz w:val="22"/>
          <w:szCs w:val="22"/>
        </w:rPr>
        <w:t xml:space="preserve">Notify the CE without unreasonable delay, and no later than 60 calendar days after discovery, of any Breach of Unsecured PHI</w:t>
      </w:r>
    </w:p>
    <w:p>
      <w:pPr>
        <w:pStyle w:val="ListParagraph"/>
        <w:numPr>
          <w:ilvl w:val="0"/>
          <w:numId w:val="3"/>
        </w:numPr>
        <w:spacing w:after="80"/>
      </w:pPr>
      <w:r>
        <w:rPr>
          <w:rFonts w:ascii="Arial" w:cs="Arial" w:eastAsia="Arial" w:hAnsi="Arial"/>
          <w:sz w:val="22"/>
          <w:szCs w:val="22"/>
        </w:rPr>
        <w:t xml:space="preserve">Include in the notification: (a) the nature of the Breach; (b) PHI involved; (c) individuals affected; (d) steps taken to mitigate; (e) steps taken to prevent recurrence</w:t>
      </w:r>
    </w:p>
    <w:p>
      <w:pPr>
        <w:pStyle w:val="ListParagraph"/>
        <w:numPr>
          <w:ilvl w:val="0"/>
          <w:numId w:val="3"/>
        </w:numPr>
        <w:spacing w:after="80"/>
      </w:pPr>
      <w:r>
        <w:rPr>
          <w:rFonts w:ascii="Arial" w:cs="Arial" w:eastAsia="Arial" w:hAnsi="Arial"/>
          <w:sz w:val="22"/>
          <w:szCs w:val="22"/>
        </w:rPr>
        <w:t xml:space="preserve">Notify the CE of any Security Incident of which it becomes aware</w:t>
      </w:r>
    </w:p>
    <w:p>
      <w:pPr>
        <w:pStyle w:val="ListParagraph"/>
        <w:numPr>
          <w:ilvl w:val="0"/>
          <w:numId w:val="3"/>
        </w:numPr>
        <w:spacing w:after="80"/>
      </w:pPr>
      <w:r>
        <w:rPr>
          <w:rFonts w:ascii="Arial" w:cs="Arial" w:eastAsia="Arial" w:hAnsi="Arial"/>
          <w:sz w:val="22"/>
          <w:szCs w:val="22"/>
        </w:rPr>
        <w:t xml:space="preserve">Cooperate fully with the CE in investigating and mitigating any Breach</w:t>
      </w:r>
    </w:p>
    <w:p>
      <w:r>
        <w:t xml:space="preserve"/>
      </w:r>
    </w:p>
    <w:p>
      <w:pPr>
        <w:pStyle w:val="Heading1"/>
      </w:pPr>
      <w:r>
        <w:t xml:space="preserve">5. Subcontractors</w:t>
      </w:r>
    </w:p>
    <w:p>
      <w:pPr>
        <w:spacing w:after="160"/>
      </w:pPr>
      <w:r>
        <w:t xml:space="preserve">The BA shall:</w:t>
      </w:r>
    </w:p>
    <w:p>
      <w:pPr>
        <w:pStyle w:val="ListParagraph"/>
        <w:numPr>
          <w:ilvl w:val="0"/>
          <w:numId w:val="3"/>
        </w:numPr>
        <w:spacing w:after="80"/>
      </w:pPr>
      <w:r>
        <w:rPr>
          <w:rFonts w:ascii="Arial" w:cs="Arial" w:eastAsia="Arial" w:hAnsi="Arial"/>
          <w:sz w:val="22"/>
          <w:szCs w:val="22"/>
        </w:rPr>
        <w:t xml:space="preserve">Ensure any subcontractor that creates, receives, maintains, or transmits PHI on behalf of the BA agrees to the same restrictions and conditions as the BA through a written BAA</w:t>
      </w:r>
    </w:p>
    <w:p>
      <w:pPr>
        <w:pStyle w:val="ListParagraph"/>
        <w:numPr>
          <w:ilvl w:val="0"/>
          <w:numId w:val="3"/>
        </w:numPr>
        <w:spacing w:after="80"/>
      </w:pPr>
      <w:r>
        <w:rPr>
          <w:rFonts w:ascii="Arial" w:cs="Arial" w:eastAsia="Arial" w:hAnsi="Arial"/>
          <w:sz w:val="22"/>
          <w:szCs w:val="22"/>
        </w:rPr>
        <w:t xml:space="preserve">Remain liable to the CE for acts and omissions of subcontractors to the same extent as for its own acts and omissions</w:t>
      </w:r>
    </w:p>
    <w:p>
      <w:r>
        <w:t xml:space="preserve"/>
      </w:r>
    </w:p>
    <w:p>
      <w:pPr>
        <w:pStyle w:val="Heading1"/>
      </w:pPr>
      <w:r>
        <w:t xml:space="preserve">6. Individual Rights</w:t>
      </w:r>
    </w:p>
    <w:p>
      <w:pPr>
        <w:spacing w:after="160"/>
      </w:pPr>
      <w:r>
        <w:t xml:space="preserve">The BA shall:</w:t>
      </w:r>
    </w:p>
    <w:p>
      <w:pPr>
        <w:pStyle w:val="ListParagraph"/>
        <w:numPr>
          <w:ilvl w:val="0"/>
          <w:numId w:val="3"/>
        </w:numPr>
        <w:spacing w:after="80"/>
      </w:pPr>
      <w:r>
        <w:rPr>
          <w:rFonts w:ascii="Arial" w:cs="Arial" w:eastAsia="Arial" w:hAnsi="Arial"/>
          <w:sz w:val="22"/>
          <w:szCs w:val="22"/>
        </w:rPr>
        <w:t xml:space="preserve">Make PHI available to the CE as necessary for CE to respond to individuals' access requests within 30 days</w:t>
      </w:r>
    </w:p>
    <w:p>
      <w:pPr>
        <w:pStyle w:val="ListParagraph"/>
        <w:numPr>
          <w:ilvl w:val="0"/>
          <w:numId w:val="3"/>
        </w:numPr>
        <w:spacing w:after="80"/>
      </w:pPr>
      <w:r>
        <w:rPr>
          <w:rFonts w:ascii="Arial" w:cs="Arial" w:eastAsia="Arial" w:hAnsi="Arial"/>
          <w:sz w:val="22"/>
          <w:szCs w:val="22"/>
        </w:rPr>
        <w:t xml:space="preserve">Make PHI available for amendment as directed by the CE</w:t>
      </w:r>
    </w:p>
    <w:p>
      <w:pPr>
        <w:pStyle w:val="ListParagraph"/>
        <w:numPr>
          <w:ilvl w:val="0"/>
          <w:numId w:val="3"/>
        </w:numPr>
        <w:spacing w:after="80"/>
      </w:pPr>
      <w:r>
        <w:rPr>
          <w:rFonts w:ascii="Arial" w:cs="Arial" w:eastAsia="Arial" w:hAnsi="Arial"/>
          <w:sz w:val="22"/>
          <w:szCs w:val="22"/>
        </w:rPr>
        <w:t xml:space="preserve">Provide an accounting of disclosures as required under 45 CFR Section 164.528</w:t>
      </w:r>
    </w:p>
    <w:p>
      <w:pPr>
        <w:pStyle w:val="ListParagraph"/>
        <w:numPr>
          <w:ilvl w:val="0"/>
          <w:numId w:val="3"/>
        </w:numPr>
        <w:spacing w:after="80"/>
      </w:pPr>
      <w:r>
        <w:rPr>
          <w:rFonts w:ascii="Arial" w:cs="Arial" w:eastAsia="Arial" w:hAnsi="Arial"/>
          <w:sz w:val="22"/>
          <w:szCs w:val="22"/>
        </w:rPr>
        <w:t xml:space="preserve">Make its internal practices and records relating to PHI available to the Secretary of HHS for compliance review</w:t>
      </w:r>
    </w:p>
    <w:p>
      <w:r>
        <w:t xml:space="preserve"/>
      </w:r>
    </w:p>
    <w:p>
      <w:pPr>
        <w:pStyle w:val="Heading1"/>
      </w:pPr>
      <w:r>
        <w:t xml:space="preserve">7. Term and Termination</w:t>
      </w:r>
    </w:p>
    <w:p>
      <w:pPr>
        <w:pStyle w:val="Heading2"/>
      </w:pPr>
      <w:r>
        <w:t xml:space="preserve">7.1 Term</w:t>
      </w:r>
    </w:p>
    <w:p>
      <w:pPr>
        <w:spacing w:after="160"/>
      </w:pPr>
      <w:r>
        <w:t xml:space="preserve">This Agreement commences on the Effective Date and continues until the termination of the underlying services agreement, unless earlier terminated.</w:t>
      </w:r>
    </w:p>
    <w:p>
      <w:pPr>
        <w:pStyle w:val="Heading2"/>
      </w:pPr>
      <w:r>
        <w:t xml:space="preserve">7.2 Termination for Cause</w:t>
      </w:r>
    </w:p>
    <w:p>
      <w:pPr>
        <w:spacing w:after="160"/>
      </w:pPr>
      <w:r>
        <w:t xml:space="preserve">Either Party may terminate this Agreement if the other materially breaches any provision, and such breach is not cured within 30 days of written notice.</w:t>
      </w:r>
    </w:p>
    <w:p>
      <w:pPr>
        <w:pStyle w:val="Heading2"/>
      </w:pPr>
      <w:r>
        <w:t xml:space="preserve">7.3 Effect of Termination</w:t>
      </w:r>
    </w:p>
    <w:p>
      <w:pPr>
        <w:spacing w:after="160"/>
      </w:pPr>
      <w:r>
        <w:t xml:space="preserve">Upon termination, the BA shall, at the CE's direction, either return or destroy all PHI received from or created on behalf of the CE. If return or destruction is infeasible, the BA shall extend the protections of this Agreement to such PHI and limit further use or disclosure.</w:t>
      </w:r>
    </w:p>
    <w:p>
      <w:r>
        <w:t xml:space="preserve"/>
      </w:r>
    </w:p>
    <w:p>
      <w:pPr>
        <w:pStyle w:val="Heading1"/>
      </w:pPr>
      <w:r>
        <w:t xml:space="preserve">8. Miscellaneous</w:t>
      </w:r>
    </w:p>
    <w:p>
      <w:pPr>
        <w:pStyle w:val="ListParagraph"/>
        <w:numPr>
          <w:ilvl w:val="0"/>
          <w:numId w:val="2"/>
        </w:numPr>
        <w:spacing w:after="80"/>
      </w:pPr>
      <w:r>
        <w:rPr>
          <w:rFonts w:ascii="Arial" w:cs="Arial" w:eastAsia="Arial" w:hAnsi="Arial"/>
          <w:sz w:val="22"/>
          <w:szCs w:val="22"/>
        </w:rPr>
        <w:t xml:space="preserve">Amendment: This Agreement may only be amended by a written instrument signed by both Parties</w:t>
      </w:r>
    </w:p>
    <w:p>
      <w:pPr>
        <w:pStyle w:val="ListParagraph"/>
        <w:numPr>
          <w:ilvl w:val="0"/>
          <w:numId w:val="2"/>
        </w:numPr>
        <w:spacing w:after="80"/>
      </w:pPr>
      <w:r>
        <w:rPr>
          <w:rFonts w:ascii="Arial" w:cs="Arial" w:eastAsia="Arial" w:hAnsi="Arial"/>
          <w:sz w:val="22"/>
          <w:szCs w:val="22"/>
        </w:rPr>
        <w:t xml:space="preserve">Interpretation: Any ambiguity shall be resolved in favor of a meaning that permits the CE to comply with HIPAA</w:t>
      </w:r>
    </w:p>
    <w:p>
      <w:pPr>
        <w:pStyle w:val="ListParagraph"/>
        <w:numPr>
          <w:ilvl w:val="0"/>
          <w:numId w:val="2"/>
        </w:numPr>
        <w:spacing w:after="80"/>
      </w:pPr>
      <w:r>
        <w:rPr>
          <w:rFonts w:ascii="Arial" w:cs="Arial" w:eastAsia="Arial" w:hAnsi="Arial"/>
          <w:sz w:val="22"/>
          <w:szCs w:val="22"/>
        </w:rPr>
        <w:t xml:space="preserve">No Third-Party Beneficiaries: This Agreement does not create rights in any third party</w:t>
      </w:r>
    </w:p>
    <w:p>
      <w:pPr>
        <w:pStyle w:val="ListParagraph"/>
        <w:numPr>
          <w:ilvl w:val="0"/>
          <w:numId w:val="2"/>
        </w:numPr>
        <w:spacing w:after="80"/>
      </w:pPr>
      <w:r>
        <w:rPr>
          <w:rFonts w:ascii="Arial" w:cs="Arial" w:eastAsia="Arial" w:hAnsi="Arial"/>
          <w:sz w:val="22"/>
          <w:szCs w:val="22"/>
        </w:rPr>
        <w:t xml:space="preserve">Survival: Provisions regarding PHI obligations survive termination</w:t>
      </w:r>
    </w:p>
    <w:p>
      <w:r>
        <w:t xml:space="preserve"/>
      </w:r>
    </w:p>
    <w:p>
      <w:pPr>
        <w:pStyle w:val="Heading1"/>
      </w:pPr>
      <w:r>
        <w:t xml:space="preserve">9. Signatures</w:t>
      </w:r>
    </w:p>
    <w:p>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c>
          <w:tcPr>
            <w:tcW w:type="dxa" w:w="5040"/>
            <w:tcMar>
              <w:top w:type="dxa" w:w="80"/>
              <w:left w:type="dxa" w:w="120"/>
              <w:bottom w:type="dxa" w:w="80"/>
              <w:right w:type="dxa" w:w="120"/>
            </w:tcMar>
          </w:tcPr>
          <w:p>
            <w:r>
              <w:rPr>
                <w:rFonts w:ascii="Arial" w:cs="Arial" w:eastAsia="Arial" w:hAnsi="Arial"/>
                <w:b/>
                <w:bCs/>
                <w:sz w:val="20"/>
                <w:szCs w:val="20"/>
              </w:rPr>
              <w:t xml:space="preserve">FOR QLINIQIT (Covered Entity)</w:t>
            </w:r>
          </w:p>
        </w:tc>
        <w:tc>
          <w:tcPr>
            <w:tcW w:type="dxa" w:w="5040"/>
            <w:tcMar>
              <w:top w:type="dxa" w:w="80"/>
              <w:left w:type="dxa" w:w="120"/>
              <w:bottom w:type="dxa" w:w="80"/>
              <w:right w:type="dxa" w:w="120"/>
            </w:tcMar>
          </w:tcPr>
          <w:p>
            <w:r>
              <w:rPr>
                <w:rFonts w:ascii="Arial" w:cs="Arial" w:eastAsia="Arial" w:hAnsi="Arial"/>
                <w:b/>
                <w:bCs/>
                <w:sz w:val="20"/>
                <w:szCs w:val="20"/>
              </w:rPr>
              <w:t xml:space="preserve">FOR [VENDOR NAME] (Business Associate)</w:t>
            </w:r>
          </w:p>
        </w:tc>
      </w:tr>
      <w:tr>
        <w:tc>
          <w:tcPr>
            <w:tcW w:type="dxa" w:w="5040"/>
            <w:tcBorders>
              <w:bottom w:val="single" w:color="CBD5E1" w:sz="2"/>
            </w:tcBorders>
            <w:tcMar>
              <w:top w:type="dxa" w:w="240"/>
              <w:left w:type="dxa" w:w="120"/>
              <w:bottom w:type="dxa" w:w="80"/>
              <w:right w:type="dxa" w:w="120"/>
            </w:tcMar>
          </w:tcPr>
          <w:p>
            <w:r>
              <w:rPr>
                <w:rFonts w:ascii="Arial" w:cs="Arial" w:eastAsia="Arial" w:hAnsi="Arial"/>
                <w:color w:val="64748B"/>
                <w:sz w:val="20"/>
                <w:szCs w:val="20"/>
              </w:rPr>
              <w:t xml:space="preserve">Signature:</w:t>
            </w:r>
          </w:p>
        </w:tc>
        <w:tc>
          <w:tcPr>
            <w:tcW w:type="dxa" w:w="5040"/>
            <w:tcBorders>
              <w:bottom w:val="single" w:color="CBD5E1" w:sz="2"/>
            </w:tcBorders>
            <w:tcMar>
              <w:top w:type="dxa" w:w="240"/>
              <w:left w:type="dxa" w:w="120"/>
              <w:bottom w:type="dxa" w:w="80"/>
              <w:right w:type="dxa" w:w="120"/>
            </w:tcMar>
          </w:tcPr>
          <w:p>
            <w:r>
              <w:rPr>
                <w:rFonts w:ascii="Arial" w:cs="Arial" w:eastAsia="Arial" w:hAnsi="Arial"/>
                <w:color w:val="64748B"/>
                <w:sz w:val="20"/>
                <w:szCs w:val="20"/>
              </w:rPr>
              <w:t xml:space="preserve">Signature:</w:t>
            </w:r>
          </w:p>
        </w:tc>
      </w:tr>
      <w:tr>
        <w:tc>
          <w:tcPr>
            <w:tcW w:type="dxa" w:w="5040"/>
            <w:tcBorders>
              <w:bottom w:val="single" w:color="CBD5E1" w:sz="2"/>
            </w:tcBorders>
            <w:tcMar>
              <w:top w:type="dxa" w:w="240"/>
              <w:left w:type="dxa" w:w="120"/>
              <w:bottom w:type="dxa" w:w="80"/>
              <w:right w:type="dxa" w:w="120"/>
            </w:tcMar>
          </w:tcPr>
          <w:p>
            <w:r>
              <w:rPr>
                <w:rFonts w:ascii="Arial" w:cs="Arial" w:eastAsia="Arial" w:hAnsi="Arial"/>
                <w:color w:val="64748B"/>
                <w:sz w:val="20"/>
                <w:szCs w:val="20"/>
              </w:rPr>
              <w:t xml:space="preserve">Name:</w:t>
            </w:r>
          </w:p>
        </w:tc>
        <w:tc>
          <w:tcPr>
            <w:tcW w:type="dxa" w:w="5040"/>
            <w:tcBorders>
              <w:bottom w:val="single" w:color="CBD5E1" w:sz="2"/>
            </w:tcBorders>
            <w:tcMar>
              <w:top w:type="dxa" w:w="240"/>
              <w:left w:type="dxa" w:w="120"/>
              <w:bottom w:type="dxa" w:w="80"/>
              <w:right w:type="dxa" w:w="120"/>
            </w:tcMar>
          </w:tcPr>
          <w:p>
            <w:r>
              <w:rPr>
                <w:rFonts w:ascii="Arial" w:cs="Arial" w:eastAsia="Arial" w:hAnsi="Arial"/>
                <w:color w:val="64748B"/>
                <w:sz w:val="20"/>
                <w:szCs w:val="20"/>
              </w:rPr>
              <w:t xml:space="preserve">Name:</w:t>
            </w:r>
          </w:p>
        </w:tc>
      </w:tr>
      <w:tr>
        <w:tc>
          <w:tcPr>
            <w:tcW w:type="dxa" w:w="5040"/>
            <w:tcBorders>
              <w:bottom w:val="single" w:color="CBD5E1" w:sz="2"/>
            </w:tcBorders>
            <w:tcMar>
              <w:top w:type="dxa" w:w="240"/>
              <w:left w:type="dxa" w:w="120"/>
              <w:bottom w:type="dxa" w:w="80"/>
              <w:right w:type="dxa" w:w="120"/>
            </w:tcMar>
          </w:tcPr>
          <w:p>
            <w:r>
              <w:rPr>
                <w:rFonts w:ascii="Arial" w:cs="Arial" w:eastAsia="Arial" w:hAnsi="Arial"/>
                <w:color w:val="64748B"/>
                <w:sz w:val="20"/>
                <w:szCs w:val="20"/>
              </w:rPr>
              <w:t xml:space="preserve">Title:</w:t>
            </w:r>
          </w:p>
        </w:tc>
        <w:tc>
          <w:tcPr>
            <w:tcW w:type="dxa" w:w="5040"/>
            <w:tcBorders>
              <w:bottom w:val="single" w:color="CBD5E1" w:sz="2"/>
            </w:tcBorders>
            <w:tcMar>
              <w:top w:type="dxa" w:w="240"/>
              <w:left w:type="dxa" w:w="120"/>
              <w:bottom w:type="dxa" w:w="80"/>
              <w:right w:type="dxa" w:w="120"/>
            </w:tcMar>
          </w:tcPr>
          <w:p>
            <w:r>
              <w:rPr>
                <w:rFonts w:ascii="Arial" w:cs="Arial" w:eastAsia="Arial" w:hAnsi="Arial"/>
                <w:color w:val="64748B"/>
                <w:sz w:val="20"/>
                <w:szCs w:val="20"/>
              </w:rPr>
              <w:t xml:space="preserve">Title:</w:t>
            </w:r>
          </w:p>
        </w:tc>
      </w:tr>
      <w:tr>
        <w:tc>
          <w:tcPr>
            <w:tcW w:type="dxa" w:w="5040"/>
            <w:tcBorders>
              <w:bottom w:val="single" w:color="CBD5E1" w:sz="2"/>
            </w:tcBorders>
            <w:tcMar>
              <w:top w:type="dxa" w:w="240"/>
              <w:left w:type="dxa" w:w="120"/>
              <w:bottom w:type="dxa" w:w="80"/>
              <w:right w:type="dxa" w:w="120"/>
            </w:tcMar>
          </w:tcPr>
          <w:p>
            <w:r>
              <w:rPr>
                <w:rFonts w:ascii="Arial" w:cs="Arial" w:eastAsia="Arial" w:hAnsi="Arial"/>
                <w:color w:val="64748B"/>
                <w:sz w:val="20"/>
                <w:szCs w:val="20"/>
              </w:rPr>
              <w:t xml:space="preserve">Date:</w:t>
            </w:r>
          </w:p>
        </w:tc>
        <w:tc>
          <w:tcPr>
            <w:tcW w:type="dxa" w:w="5040"/>
            <w:tcBorders>
              <w:bottom w:val="single" w:color="CBD5E1" w:sz="2"/>
            </w:tcBorders>
            <w:tcMar>
              <w:top w:type="dxa" w:w="240"/>
              <w:left w:type="dxa" w:w="120"/>
              <w:bottom w:type="dxa" w:w="80"/>
              <w:right w:type="dxa" w:w="120"/>
            </w:tcMar>
          </w:tcPr>
          <w:p>
            <w:r>
              <w:rPr>
                <w:rFonts w:ascii="Arial" w:cs="Arial" w:eastAsia="Arial" w:hAnsi="Arial"/>
                <w:color w:val="64748B"/>
                <w:sz w:val="20"/>
                <w:szCs w:val="20"/>
              </w:rPr>
              <w:t xml:space="preserve">Date:</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2E8F0" w:sz="4"/>
      </w:pBdr>
      <w:spacing w:before="120"/>
      <w:jc w:val="center"/>
    </w:pPr>
    <w:r>
      <w:rPr>
        <w:rFonts w:ascii="Arial" w:cs="Arial" w:eastAsia="Arial" w:hAnsi="Arial"/>
        <w:color w:val="64748B"/>
        <w:sz w:val="18"/>
        <w:szCs w:val="18"/>
      </w:rPr>
      <w:t xml:space="preserve">www.qliniqit.com  |  aiman@hu.edu.jo  |  Page </w:t>
    </w:r>
    <w:r>
      <w:rPr>
        <w:rFonts w:ascii="Arial" w:cs="Arial" w:eastAsia="Arial" w:hAnsi="Arial"/>
        <w:color w:val="64748B"/>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56C4" w:sz="4"/>
      </w:pBdr>
      <w:spacing w:after="120"/>
    </w:pPr>
    <w:r>
      <w:rPr>
        <w:rFonts w:ascii="Arial" w:cs="Arial" w:eastAsia="Arial" w:hAnsi="Arial"/>
        <w:b/>
        <w:bCs/>
        <w:color w:val="1A56C4"/>
        <w:sz w:val="20"/>
        <w:szCs w:val="20"/>
      </w:rPr>
      <w:t xml:space="preserve">QLINIQIT  |  </w:t>
    </w:r>
    <w:r>
      <w:rPr>
        <w:rFonts w:ascii="Arial" w:cs="Arial" w:eastAsia="Arial" w:hAnsi="Arial"/>
        <w:color w:val="64748B"/>
        <w:sz w:val="20"/>
        <w:szCs w:val="20"/>
      </w:rPr>
      <w:t xml:space="preserve">Business Associate Agreement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E293B"/>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A56C4"/>
      <w:sz w:val="36"/>
      <w:szCs w:val="36"/>
    </w:rPr>
  </w:style>
  <w:style w:type="paragraph" w:styleId="Heading2">
    <w:name w:val="Heading 2"/>
    <w:basedOn w:val="Normal"/>
    <w:next w:val="Normal"/>
    <w:qFormat/>
    <w:pPr>
      <w:spacing w:after="120" w:before="300"/>
      <w:outlineLvl w:val="1"/>
    </w:pPr>
    <w:rPr>
      <w:rFonts w:ascii="Arial" w:cs="Arial" w:eastAsia="Arial" w:hAnsi="Arial"/>
      <w:b/>
      <w:bCs/>
      <w:color w:val="1E293B"/>
      <w:sz w:val="26"/>
      <w:szCs w:val="26"/>
    </w:rPr>
  </w:style>
  <w:style w:type="paragraph" w:styleId="Heading3">
    <w:name w:val="Heading 3"/>
    <w:basedOn w:val="Normal"/>
    <w:next w:val="Normal"/>
    <w:qFormat/>
    <w:pPr>
      <w:spacing w:after="80" w:before="240"/>
      <w:outlineLvl w:val="2"/>
    </w:pPr>
    <w:rPr>
      <w:rFonts w:ascii="Arial" w:cs="Arial" w:eastAsia="Arial" w:hAnsi="Arial"/>
      <w:b/>
      <w:bCs/>
      <w:color w:val="1E293B"/>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2026-06-19T01:12:08.466Z</dcterms:created>
  <dcterms:modified xsi:type="dcterms:W3CDTF">2026-06-19T01:12:08.466Z</dcterms:modified>
</cp:coreProperties>
</file>

<file path=docProps/custom.xml><?xml version="1.0" encoding="utf-8"?>
<Properties xmlns="http://schemas.openxmlformats.org/officeDocument/2006/custom-properties" xmlns:vt="http://schemas.openxmlformats.org/officeDocument/2006/docPropsVTypes"/>
</file>