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C4"/>
          <w:sz w:val="52"/>
          <w:szCs w:val="52"/>
        </w:rPr>
        <w:t xml:space="preserve">QLINIQIT</w:t>
      </w:r>
    </w:p>
    <w:p>
      <w:pPr>
        <w:pBdr>
          <w:bottom w:val="single" w:color="1A56C4" w:sz="6"/>
        </w:pBdr>
        <w:spacing w:after="80"/>
        <w:jc w:val="center"/>
      </w:pPr>
      <w:r>
        <w:rPr>
          <w:rFonts w:ascii="Arial" w:cs="Arial" w:eastAsia="Arial" w:hAnsi="Arial"/>
          <w:b/>
          <w:bCs/>
          <w:color w:val="1E293B"/>
          <w:sz w:val="36"/>
          <w:szCs w:val="36"/>
        </w:rPr>
        <w:t xml:space="preserve">Telemedicine Informed Consent Form</w:t>
      </w:r>
    </w:p>
    <w:p>
      <w:pPr>
        <w:spacing w:after="80" w:before="160"/>
        <w:jc w:val="center"/>
      </w:pPr>
      <w:r>
        <w:rPr>
          <w:rFonts w:ascii="Arial" w:cs="Arial" w:eastAsia="Arial" w:hAnsi="Arial"/>
          <w:i/>
          <w:iCs/>
          <w:color w:val="64748B"/>
          <w:sz w:val="22"/>
          <w:szCs w:val="22"/>
        </w:rPr>
        <w:t xml:space="preserve">Please read carefully before your first video consultation</w:t>
      </w:r>
    </w:p>
    <w:p>
      <w:pPr>
        <w:spacing w:after="480"/>
        <w:jc w:val="center"/>
      </w:pPr>
      <w:r>
        <w:rPr>
          <w:rFonts w:ascii="Arial" w:cs="Arial" w:eastAsia="Arial" w:hAnsi="Arial"/>
          <w:color w:val="64748B"/>
          <w:sz w:val="20"/>
          <w:szCs w:val="20"/>
        </w:rPr>
        <w:t xml:space="preserve">Version: June 2026</w:t>
      </w:r>
    </w:p>
    <w:p>
      <w:pPr>
        <w:pStyle w:val="Heading1"/>
      </w:pPr>
      <w:r>
        <w:t xml:space="preserve">1. What Is Telemedicine?</w:t>
      </w:r>
    </w:p>
    <w:p>
      <w:pPr>
        <w:spacing w:after="160"/>
      </w:pPr>
      <w:r>
        <w:t xml:space="preserve">Telemedicine (also called telehealth or virtual care) is the delivery of healthcare services using electronic communications, including video calls, secure messaging, and digital health tools. Through Qliniqit, you can consult with licensed healthcare providers from any location with internet access.</w:t>
      </w:r>
    </w:p>
    <w:p>
      <w:r>
        <w:t xml:space="preserve"/>
      </w:r>
    </w:p>
    <w:p>
      <w:pPr>
        <w:pStyle w:val="Heading1"/>
      </w:pPr>
      <w:r>
        <w:t xml:space="preserve">2. Benefits of Telemedicine</w:t>
      </w:r>
    </w:p>
    <w:p>
      <w:pPr>
        <w:pStyle w:val="ListParagraph"/>
        <w:numPr>
          <w:ilvl w:val="0"/>
          <w:numId w:val="2"/>
        </w:numPr>
        <w:spacing w:after="80"/>
      </w:pPr>
      <w:r>
        <w:rPr>
          <w:rFonts w:ascii="Arial" w:cs="Arial" w:eastAsia="Arial" w:hAnsi="Arial"/>
          <w:sz w:val="22"/>
          <w:szCs w:val="22"/>
        </w:rPr>
        <w:t xml:space="preserve">Convenient access to healthcare from your home or any location</w:t>
      </w:r>
    </w:p>
    <w:p>
      <w:pPr>
        <w:pStyle w:val="ListParagraph"/>
        <w:numPr>
          <w:ilvl w:val="0"/>
          <w:numId w:val="2"/>
        </w:numPr>
        <w:spacing w:after="80"/>
      </w:pPr>
      <w:r>
        <w:rPr>
          <w:rFonts w:ascii="Arial" w:cs="Arial" w:eastAsia="Arial" w:hAnsi="Arial"/>
          <w:sz w:val="22"/>
          <w:szCs w:val="22"/>
        </w:rPr>
        <w:t xml:space="preserve">Reduced travel time and cost</w:t>
      </w:r>
    </w:p>
    <w:p>
      <w:pPr>
        <w:pStyle w:val="ListParagraph"/>
        <w:numPr>
          <w:ilvl w:val="0"/>
          <w:numId w:val="2"/>
        </w:numPr>
        <w:spacing w:after="80"/>
      </w:pPr>
      <w:r>
        <w:rPr>
          <w:rFonts w:ascii="Arial" w:cs="Arial" w:eastAsia="Arial" w:hAnsi="Arial"/>
          <w:sz w:val="22"/>
          <w:szCs w:val="22"/>
        </w:rPr>
        <w:t xml:space="preserve">Access to specialists who may not be available locally</w:t>
      </w:r>
    </w:p>
    <w:p>
      <w:pPr>
        <w:pStyle w:val="ListParagraph"/>
        <w:numPr>
          <w:ilvl w:val="0"/>
          <w:numId w:val="2"/>
        </w:numPr>
        <w:spacing w:after="80"/>
      </w:pPr>
      <w:r>
        <w:rPr>
          <w:rFonts w:ascii="Arial" w:cs="Arial" w:eastAsia="Arial" w:hAnsi="Arial"/>
          <w:sz w:val="22"/>
          <w:szCs w:val="22"/>
        </w:rPr>
        <w:t xml:space="preserve">Continuity of care for follow-up consultations</w:t>
      </w:r>
    </w:p>
    <w:p>
      <w:pPr>
        <w:pStyle w:val="ListParagraph"/>
        <w:numPr>
          <w:ilvl w:val="0"/>
          <w:numId w:val="2"/>
        </w:numPr>
        <w:spacing w:after="80"/>
      </w:pPr>
      <w:r>
        <w:rPr>
          <w:rFonts w:ascii="Arial" w:cs="Arial" w:eastAsia="Arial" w:hAnsi="Arial"/>
          <w:sz w:val="22"/>
          <w:szCs w:val="22"/>
        </w:rPr>
        <w:t xml:space="preserve">Faster access to medical advice for non-emergency conditions</w:t>
      </w:r>
    </w:p>
    <w:p>
      <w:r>
        <w:t xml:space="preserve"/>
      </w:r>
    </w:p>
    <w:p>
      <w:pPr>
        <w:pStyle w:val="Heading1"/>
      </w:pPr>
      <w:r>
        <w:t xml:space="preserve">3. Limitations and Risks</w:t>
      </w:r>
    </w:p>
    <w:p>
      <w:pPr>
        <w:spacing w:after="160"/>
      </w:pPr>
      <w:r>
        <w:t xml:space="preserve">You understand and acknowledge that:</w:t>
      </w:r>
    </w:p>
    <w:p>
      <w:pPr>
        <w:pStyle w:val="ListParagraph"/>
        <w:numPr>
          <w:ilvl w:val="0"/>
          <w:numId w:val="3"/>
        </w:numPr>
        <w:spacing w:after="80"/>
      </w:pPr>
      <w:r>
        <w:rPr>
          <w:rFonts w:ascii="Arial" w:cs="Arial" w:eastAsia="Arial" w:hAnsi="Arial"/>
          <w:sz w:val="22"/>
          <w:szCs w:val="22"/>
        </w:rPr>
        <w:t xml:space="preserve">Telemedicine has limitations compared to in-person care. Physical examination, hands-on procedures, and some diagnostic tests cannot be performed remotely.</w:t>
      </w:r>
    </w:p>
    <w:p>
      <w:pPr>
        <w:pStyle w:val="ListParagraph"/>
        <w:numPr>
          <w:ilvl w:val="0"/>
          <w:numId w:val="3"/>
        </w:numPr>
        <w:spacing w:after="80"/>
      </w:pPr>
      <w:r>
        <w:rPr>
          <w:rFonts w:ascii="Arial" w:cs="Arial" w:eastAsia="Arial" w:hAnsi="Arial"/>
          <w:sz w:val="22"/>
          <w:szCs w:val="22"/>
        </w:rPr>
        <w:t xml:space="preserve">The quality of the consultation may be affected by internet connectivity, audio/video quality, or technical issues.</w:t>
      </w:r>
    </w:p>
    <w:p>
      <w:pPr>
        <w:pStyle w:val="ListParagraph"/>
        <w:numPr>
          <w:ilvl w:val="0"/>
          <w:numId w:val="3"/>
        </w:numPr>
        <w:spacing w:after="80"/>
      </w:pPr>
      <w:r>
        <w:rPr>
          <w:rFonts w:ascii="Arial" w:cs="Arial" w:eastAsia="Arial" w:hAnsi="Arial"/>
          <w:sz w:val="22"/>
          <w:szCs w:val="22"/>
        </w:rPr>
        <w:t xml:space="preserve">Your provider may determine during a telemedicine session that an in-person visit is necessary and refer you accordingly.</w:t>
      </w:r>
    </w:p>
    <w:p>
      <w:pPr>
        <w:pStyle w:val="ListParagraph"/>
        <w:numPr>
          <w:ilvl w:val="0"/>
          <w:numId w:val="3"/>
        </w:numPr>
        <w:spacing w:after="80"/>
      </w:pPr>
      <w:r>
        <w:rPr>
          <w:rFonts w:ascii="Arial" w:cs="Arial" w:eastAsia="Arial" w:hAnsi="Arial"/>
          <w:sz w:val="22"/>
          <w:szCs w:val="22"/>
        </w:rPr>
        <w:t xml:space="preserve">Telemedicine is not appropriate for all medical conditions. It is not suitable for emergencies requiring immediate physical intervention.</w:t>
      </w:r>
    </w:p>
    <w:p>
      <w:pPr>
        <w:pStyle w:val="ListParagraph"/>
        <w:numPr>
          <w:ilvl w:val="0"/>
          <w:numId w:val="3"/>
        </w:numPr>
        <w:spacing w:after="80"/>
      </w:pPr>
      <w:r>
        <w:rPr>
          <w:rFonts w:ascii="Arial" w:cs="Arial" w:eastAsia="Arial" w:hAnsi="Arial"/>
          <w:sz w:val="22"/>
          <w:szCs w:val="22"/>
        </w:rPr>
        <w:t xml:space="preserve">Delays in care may occur due to technical failures. If you experience a medical emergency, contact your local emergency services immediately.</w:t>
      </w:r>
    </w:p>
    <w:p>
      <w:r>
        <w:t xml:space="preserve"/>
      </w:r>
    </w:p>
    <w:p>
      <w:pPr>
        <w:pStyle w:val="Heading1"/>
      </w:pPr>
      <w:r>
        <w:t xml:space="preserve">4. Privacy and Electronic Transmission</w:t>
      </w:r>
    </w:p>
    <w:p>
      <w:pPr>
        <w:spacing w:after="160"/>
      </w:pPr>
      <w:r>
        <w:t xml:space="preserve">You understand that:</w:t>
      </w:r>
    </w:p>
    <w:p>
      <w:pPr>
        <w:pStyle w:val="ListParagraph"/>
        <w:numPr>
          <w:ilvl w:val="0"/>
          <w:numId w:val="3"/>
        </w:numPr>
        <w:spacing w:after="80"/>
      </w:pPr>
      <w:r>
        <w:rPr>
          <w:rFonts w:ascii="Arial" w:cs="Arial" w:eastAsia="Arial" w:hAnsi="Arial"/>
          <w:sz w:val="22"/>
          <w:szCs w:val="22"/>
        </w:rPr>
        <w:t xml:space="preserve">Your consultation will take place over an encrypted video connection. However, no electronic transmission is 100% guaranteed to be secure.</w:t>
      </w:r>
    </w:p>
    <w:p>
      <w:pPr>
        <w:pStyle w:val="ListParagraph"/>
        <w:numPr>
          <w:ilvl w:val="0"/>
          <w:numId w:val="3"/>
        </w:numPr>
        <w:spacing w:after="80"/>
      </w:pPr>
      <w:r>
        <w:rPr>
          <w:rFonts w:ascii="Arial" w:cs="Arial" w:eastAsia="Arial" w:hAnsi="Arial"/>
          <w:sz w:val="22"/>
          <w:szCs w:val="22"/>
        </w:rPr>
        <w:t xml:space="preserve">Your consultation data, including health information shared during the session, is stored securely by Qliniqit in accordance with our Privacy Policy.</w:t>
      </w:r>
    </w:p>
    <w:p>
      <w:pPr>
        <w:pStyle w:val="ListParagraph"/>
        <w:numPr>
          <w:ilvl w:val="0"/>
          <w:numId w:val="3"/>
        </w:numPr>
        <w:spacing w:after="80"/>
      </w:pPr>
      <w:r>
        <w:rPr>
          <w:rFonts w:ascii="Arial" w:cs="Arial" w:eastAsia="Arial" w:hAnsi="Arial"/>
          <w:sz w:val="22"/>
          <w:szCs w:val="22"/>
        </w:rPr>
        <w:t xml:space="preserve">Providers may document your consultation notes within the Platform, which are accessible to you through your account.</w:t>
      </w:r>
    </w:p>
    <w:p>
      <w:pPr>
        <w:pStyle w:val="ListParagraph"/>
        <w:numPr>
          <w:ilvl w:val="0"/>
          <w:numId w:val="3"/>
        </w:numPr>
        <w:spacing w:after="80"/>
      </w:pPr>
      <w:r>
        <w:rPr>
          <w:rFonts w:ascii="Arial" w:cs="Arial" w:eastAsia="Arial" w:hAnsi="Arial"/>
          <w:sz w:val="22"/>
          <w:szCs w:val="22"/>
        </w:rPr>
        <w:t xml:space="preserve">Sessions are not recorded without your explicit consent and the provider's consent.</w:t>
      </w:r>
    </w:p>
    <w:p>
      <w:r>
        <w:t xml:space="preserve"/>
      </w:r>
    </w:p>
    <w:p>
      <w:pPr>
        <w:pStyle w:val="Heading1"/>
      </w:pPr>
      <w:r>
        <w:t xml:space="preserve">5. Emergency Situations</w:t>
      </w:r>
    </w:p>
    <w:p>
      <w:pPr>
        <w:spacing w:after="160"/>
      </w:pPr>
      <w:r>
        <w:t xml:space="preserve">IMPORTANT: Telemedicine providers on Qliniqit CANNOT dispatch emergency services on your behalf. In a medical emergency:</w:t>
      </w:r>
    </w:p>
    <w:p>
      <w:pPr>
        <w:spacing w:after="120" w:before="120"/>
        <w:jc w:val="center"/>
      </w:pPr>
      <w:r>
        <w:rPr>
          <w:rFonts w:ascii="Arial" w:cs="Arial" w:eastAsia="Arial" w:hAnsi="Arial"/>
          <w:b/>
          <w:bCs/>
          <w:color w:val="DC2626"/>
          <w:sz w:val="28"/>
          <w:szCs w:val="28"/>
        </w:rPr>
        <w:t xml:space="preserve">CALL YOUR LOCAL EMERGENCY NUMBER IMMEDIATELY</w:t>
      </w:r>
    </w:p>
    <w:p>
      <w:pPr>
        <w:spacing w:after="160"/>
      </w:pPr>
      <w:r>
        <w:t xml:space="preserve">(e.g., 911 in the US, 999 in the UK, 112 in Europe, 911 in Jordan)</w:t>
      </w:r>
    </w:p>
    <w:p>
      <w:pPr>
        <w:spacing w:after="160"/>
      </w:pPr>
      <w:r>
        <w:t xml:space="preserve">Do not wait for a telemedicine appointment if you are experiencing: chest pain, difficulty breathing, stroke symptoms, severe allergic reactions, uncontrolled bleeding, loss of consciousness, or any other life-threatening condition.</w:t>
      </w:r>
    </w:p>
    <w:p>
      <w:r>
        <w:t xml:space="preserve"/>
      </w:r>
    </w:p>
    <w:p>
      <w:pPr>
        <w:pStyle w:val="Heading1"/>
      </w:pPr>
      <w:r>
        <w:t xml:space="preserve">6. Insurance Coverage</w:t>
      </w:r>
    </w:p>
    <w:p>
      <w:pPr>
        <w:spacing w:after="160"/>
      </w:pPr>
      <w:r>
        <w:t xml:space="preserve">Telemedicine services on Qliniqit may or may not be covered by your health insurance. You are responsible for:</w:t>
      </w:r>
    </w:p>
    <w:p>
      <w:pPr>
        <w:pStyle w:val="ListParagraph"/>
        <w:numPr>
          <w:ilvl w:val="0"/>
          <w:numId w:val="2"/>
        </w:numPr>
        <w:spacing w:after="80"/>
      </w:pPr>
      <w:r>
        <w:rPr>
          <w:rFonts w:ascii="Arial" w:cs="Arial" w:eastAsia="Arial" w:hAnsi="Arial"/>
          <w:sz w:val="22"/>
          <w:szCs w:val="22"/>
        </w:rPr>
        <w:t xml:space="preserve">Verifying your insurance coverage for telemedicine services before booking</w:t>
      </w:r>
    </w:p>
    <w:p>
      <w:pPr>
        <w:pStyle w:val="ListParagraph"/>
        <w:numPr>
          <w:ilvl w:val="0"/>
          <w:numId w:val="2"/>
        </w:numPr>
        <w:spacing w:after="80"/>
      </w:pPr>
      <w:r>
        <w:rPr>
          <w:rFonts w:ascii="Arial" w:cs="Arial" w:eastAsia="Arial" w:hAnsi="Arial"/>
          <w:sz w:val="22"/>
          <w:szCs w:val="22"/>
        </w:rPr>
        <w:t xml:space="preserve">Paying any applicable co-payments, deductibles, or fees not covered by insurance</w:t>
      </w:r>
    </w:p>
    <w:p>
      <w:pPr>
        <w:pStyle w:val="ListParagraph"/>
        <w:numPr>
          <w:ilvl w:val="0"/>
          <w:numId w:val="2"/>
        </w:numPr>
        <w:spacing w:after="80"/>
      </w:pPr>
      <w:r>
        <w:rPr>
          <w:rFonts w:ascii="Arial" w:cs="Arial" w:eastAsia="Arial" w:hAnsi="Arial"/>
          <w:sz w:val="22"/>
          <w:szCs w:val="22"/>
        </w:rPr>
        <w:t xml:space="preserve">Requesting receipts or medical documentation from your provider if required for insurance reimbursement</w:t>
      </w:r>
    </w:p>
    <w:p>
      <w:r>
        <w:t xml:space="preserve"/>
      </w:r>
    </w:p>
    <w:p>
      <w:pPr>
        <w:pStyle w:val="Heading1"/>
      </w:pPr>
      <w:r>
        <w:t xml:space="preserve">7. Right to Withdraw Consent</w:t>
      </w:r>
    </w:p>
    <w:p>
      <w:pPr>
        <w:spacing w:after="160"/>
      </w:pPr>
      <w:r>
        <w:t xml:space="preserve">Your consent to telemedicine is voluntary. You may withdraw this consent at any time by:</w:t>
      </w:r>
    </w:p>
    <w:p>
      <w:pPr>
        <w:pStyle w:val="ListParagraph"/>
        <w:numPr>
          <w:ilvl w:val="0"/>
          <w:numId w:val="2"/>
        </w:numPr>
        <w:spacing w:after="80"/>
      </w:pPr>
      <w:r>
        <w:rPr>
          <w:rFonts w:ascii="Arial" w:cs="Arial" w:eastAsia="Arial" w:hAnsi="Arial"/>
          <w:sz w:val="22"/>
          <w:szCs w:val="22"/>
        </w:rPr>
        <w:t xml:space="preserve">Ending the video consultation at any time without penalty</w:t>
      </w:r>
    </w:p>
    <w:p>
      <w:pPr>
        <w:pStyle w:val="ListParagraph"/>
        <w:numPr>
          <w:ilvl w:val="0"/>
          <w:numId w:val="2"/>
        </w:numPr>
        <w:spacing w:after="80"/>
      </w:pPr>
      <w:r>
        <w:rPr>
          <w:rFonts w:ascii="Arial" w:cs="Arial" w:eastAsia="Arial" w:hAnsi="Arial"/>
          <w:sz w:val="22"/>
          <w:szCs w:val="22"/>
        </w:rPr>
        <w:t xml:space="preserve">Contacting us at aiman@hu.edu.jo to remove this consent from your records</w:t>
      </w:r>
    </w:p>
    <w:p>
      <w:pPr>
        <w:pStyle w:val="ListParagraph"/>
        <w:numPr>
          <w:ilvl w:val="0"/>
          <w:numId w:val="2"/>
        </w:numPr>
        <w:spacing w:after="80"/>
      </w:pPr>
      <w:r>
        <w:rPr>
          <w:rFonts w:ascii="Arial" w:cs="Arial" w:eastAsia="Arial" w:hAnsi="Arial"/>
          <w:sz w:val="22"/>
          <w:szCs w:val="22"/>
        </w:rPr>
        <w:t xml:space="preserve">Requesting an in-person referral from your provider</w:t>
      </w:r>
    </w:p>
    <w:p>
      <w:pPr>
        <w:spacing w:after="160"/>
      </w:pPr>
      <w:r>
        <w:t xml:space="preserve">Withdrawal of consent does not affect the lawfulness of any services already provided.</w:t>
      </w:r>
    </w:p>
    <w:p>
      <w:r>
        <w:t xml:space="preserve"/>
      </w:r>
    </w:p>
    <w:p>
      <w:pPr>
        <w:pStyle w:val="Heading1"/>
      </w:pPr>
      <w:r>
        <w:t xml:space="preserve">8. Member Acknowledgment and Consent</w:t>
      </w:r>
    </w:p>
    <w:p>
      <w:pPr>
        <w:spacing w:after="160"/>
      </w:pPr>
      <w:r>
        <w:t xml:space="preserve">By using telemedicine services on Qliniqit, I confirm that:</w:t>
      </w:r>
    </w:p>
    <w:p>
      <w:pPr>
        <w:pStyle w:val="ListParagraph"/>
        <w:numPr>
          <w:ilvl w:val="0"/>
          <w:numId w:val="3"/>
        </w:numPr>
        <w:spacing w:after="80"/>
      </w:pPr>
      <w:r>
        <w:rPr>
          <w:rFonts w:ascii="Arial" w:cs="Arial" w:eastAsia="Arial" w:hAnsi="Arial"/>
          <w:sz w:val="22"/>
          <w:szCs w:val="22"/>
        </w:rPr>
        <w:t xml:space="preserve">I have read and understand this Informed Consent Form</w:t>
      </w:r>
    </w:p>
    <w:p>
      <w:pPr>
        <w:pStyle w:val="ListParagraph"/>
        <w:numPr>
          <w:ilvl w:val="0"/>
          <w:numId w:val="3"/>
        </w:numPr>
        <w:spacing w:after="80"/>
      </w:pPr>
      <w:r>
        <w:rPr>
          <w:rFonts w:ascii="Arial" w:cs="Arial" w:eastAsia="Arial" w:hAnsi="Arial"/>
          <w:sz w:val="22"/>
          <w:szCs w:val="22"/>
        </w:rPr>
        <w:t xml:space="preserve">I understand the benefits, limitations, and risks of telemedicine</w:t>
      </w:r>
    </w:p>
    <w:p>
      <w:pPr>
        <w:pStyle w:val="ListParagraph"/>
        <w:numPr>
          <w:ilvl w:val="0"/>
          <w:numId w:val="3"/>
        </w:numPr>
        <w:spacing w:after="80"/>
      </w:pPr>
      <w:r>
        <w:rPr>
          <w:rFonts w:ascii="Arial" w:cs="Arial" w:eastAsia="Arial" w:hAnsi="Arial"/>
          <w:sz w:val="22"/>
          <w:szCs w:val="22"/>
        </w:rPr>
        <w:t xml:space="preserve">I consent to the use of electronic communications for my healthcare consultations</w:t>
      </w:r>
    </w:p>
    <w:p>
      <w:pPr>
        <w:pStyle w:val="ListParagraph"/>
        <w:numPr>
          <w:ilvl w:val="0"/>
          <w:numId w:val="3"/>
        </w:numPr>
        <w:spacing w:after="80"/>
      </w:pPr>
      <w:r>
        <w:rPr>
          <w:rFonts w:ascii="Arial" w:cs="Arial" w:eastAsia="Arial" w:hAnsi="Arial"/>
          <w:sz w:val="22"/>
          <w:szCs w:val="22"/>
        </w:rPr>
        <w:t xml:space="preserve">I understand that telemedicine is not a substitute for emergency care</w:t>
      </w:r>
    </w:p>
    <w:p>
      <w:pPr>
        <w:pStyle w:val="ListParagraph"/>
        <w:numPr>
          <w:ilvl w:val="0"/>
          <w:numId w:val="3"/>
        </w:numPr>
        <w:spacing w:after="80"/>
      </w:pPr>
      <w:r>
        <w:rPr>
          <w:rFonts w:ascii="Arial" w:cs="Arial" w:eastAsia="Arial" w:hAnsi="Arial"/>
          <w:sz w:val="22"/>
          <w:szCs w:val="22"/>
        </w:rPr>
        <w:t xml:space="preserve">I understand that my sessions are not recorded without explicit consent</w:t>
      </w:r>
    </w:p>
    <w:p>
      <w:pPr>
        <w:pStyle w:val="ListParagraph"/>
        <w:numPr>
          <w:ilvl w:val="0"/>
          <w:numId w:val="3"/>
        </w:numPr>
        <w:spacing w:after="80"/>
      </w:pPr>
      <w:r>
        <w:rPr>
          <w:rFonts w:ascii="Arial" w:cs="Arial" w:eastAsia="Arial" w:hAnsi="Arial"/>
          <w:sz w:val="22"/>
          <w:szCs w:val="22"/>
        </w:rPr>
        <w:t xml:space="preserve">I am aware of my right to withdraw consent at any time</w:t>
      </w:r>
    </w:p>
    <w:p>
      <w:r>
        <w:t xml:space="preserve"/>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bottom w:val="single" w:color="1E293B" w:sz="4"/>
            </w:tcBorders>
            <w:tcMar>
              <w:top w:type="dxa" w:w="400"/>
              <w:left w:type="dxa" w:w="100"/>
              <w:bottom w:type="dxa" w:w="80"/>
              <w:right w:type="dxa" w:w="200"/>
            </w:tcMar>
          </w:tcPr>
          <w:p>
            <w:r>
              <w:rPr>
                <w:rFonts w:ascii="Arial" w:cs="Arial" w:eastAsia="Arial" w:hAnsi="Arial"/>
                <w:color w:val="64748B"/>
                <w:sz w:val="20"/>
                <w:szCs w:val="20"/>
              </w:rPr>
              <w:t xml:space="preserve">Member Full Name</w:t>
            </w:r>
          </w:p>
        </w:tc>
        <w:tc>
          <w:tcPr>
            <w:tcW w:type="dxa" w:w="5040"/>
            <w:tcBorders>
              <w:bottom w:val="single" w:color="1E293B" w:sz="4"/>
            </w:tcBorders>
            <w:tcMar>
              <w:top w:type="dxa" w:w="400"/>
              <w:left w:type="dxa" w:w="100"/>
              <w:bottom w:type="dxa" w:w="80"/>
              <w:right w:type="dxa" w:w="100"/>
            </w:tcMar>
          </w:tcPr>
          <w:p>
            <w:r>
              <w:rPr>
                <w:rFonts w:ascii="Arial" w:cs="Arial" w:eastAsia="Arial" w:hAnsi="Arial"/>
                <w:color w:val="64748B"/>
                <w:sz w:val="20"/>
                <w:szCs w:val="20"/>
              </w:rPr>
              <w:t xml:space="preserve">Date</w:t>
            </w:r>
          </w:p>
        </w:tc>
      </w:tr>
      <w:tr>
        <w:tc>
          <w:tcPr>
            <w:tcW w:type="dxa" w:w="5040"/>
            <w:tcBorders>
              <w:bottom w:val="single" w:color="1E293B" w:sz="4"/>
            </w:tcBorders>
            <w:tcMar>
              <w:top w:type="dxa" w:w="400"/>
              <w:left w:type="dxa" w:w="100"/>
              <w:bottom w:type="dxa" w:w="80"/>
              <w:right w:type="dxa" w:w="200"/>
            </w:tcMar>
          </w:tcPr>
          <w:p>
            <w:r>
              <w:rPr>
                <w:rFonts w:ascii="Arial" w:cs="Arial" w:eastAsia="Arial" w:hAnsi="Arial"/>
                <w:color w:val="64748B"/>
                <w:sz w:val="20"/>
                <w:szCs w:val="20"/>
              </w:rPr>
              <w:t xml:space="preserve">Member Signature</w:t>
            </w:r>
          </w:p>
        </w:tc>
        <w:tc>
          <w:tcPr>
            <w:tcW w:type="dxa" w:w="5040"/>
            <w:tcBorders>
              <w:bottom w:val="single" w:color="1E293B" w:sz="4"/>
            </w:tcBorders>
            <w:tcMar>
              <w:top w:type="dxa" w:w="400"/>
              <w:left w:type="dxa" w:w="100"/>
              <w:bottom w:type="dxa" w:w="80"/>
              <w:right w:type="dxa" w:w="100"/>
            </w:tcMar>
          </w:tcPr>
          <w:p>
            <w:r>
              <w:rPr>
                <w:rFonts w:ascii="Arial" w:cs="Arial" w:eastAsia="Arial" w:hAnsi="Arial"/>
                <w:color w:val="64748B"/>
                <w:sz w:val="20"/>
                <w:szCs w:val="20"/>
              </w:rPr>
              <w:t xml:space="preserve">Account Email</w:t>
            </w:r>
          </w:p>
        </w:tc>
      </w:tr>
    </w:tbl>
    <w:p>
      <w:r>
        <w:t xml:space="preserve"/>
      </w:r>
    </w:p>
    <w:p>
      <w:pPr>
        <w:spacing w:after="160"/>
      </w:pPr>
      <w:r>
        <w:rPr>
          <w:i/>
          <w:iCs/>
          <w:color w:val="64748B"/>
        </w:rPr>
        <w:t xml:space="preserve">Questions? Contact us at aiman@hu.edu.jo | www.qliniqit.com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www.qliniqit.com  |  aiman@hu.edu.jo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pBdr>
      <w:spacing w:after="120"/>
    </w:pPr>
    <w:r>
      <w:rPr>
        <w:rFonts w:ascii="Arial" w:cs="Arial" w:eastAsia="Arial" w:hAnsi="Arial"/>
        <w:b/>
        <w:bCs/>
        <w:color w:val="1A56C4"/>
        <w:sz w:val="20"/>
        <w:szCs w:val="20"/>
      </w:rPr>
      <w:t xml:space="preserve">QLINIQIT  |  </w:t>
    </w:r>
    <w:r>
      <w:rPr>
        <w:rFonts w:ascii="Arial" w:cs="Arial" w:eastAsia="Arial" w:hAnsi="Arial"/>
        <w:color w:val="64748B"/>
        <w:sz w:val="20"/>
        <w:szCs w:val="20"/>
      </w:rPr>
      <w:t xml:space="preserve">Telemedicine Informed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2026-06-19T01:12:08.456Z</dcterms:created>
  <dcterms:modified xsi:type="dcterms:W3CDTF">2026-06-19T01:12:08.456Z</dcterms:modified>
</cp:coreProperties>
</file>

<file path=docProps/custom.xml><?xml version="1.0" encoding="utf-8"?>
<Properties xmlns="http://schemas.openxmlformats.org/officeDocument/2006/custom-properties" xmlns:vt="http://schemas.openxmlformats.org/officeDocument/2006/docPropsVTypes"/>
</file>