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C4"/>
          <w:sz w:val="52"/>
          <w:szCs w:val="52"/>
        </w:rPr>
        <w:t xml:space="preserve">QLINIQIT</w:t>
      </w:r>
    </w:p>
    <w:p>
      <w:pPr>
        <w:pBdr>
          <w:bottom w:val="single" w:color="1A56C4" w:sz="6"/>
        </w:pBdr>
        <w:spacing w:after="80"/>
        <w:jc w:val="center"/>
      </w:pPr>
      <w:r>
        <w:rPr>
          <w:rFonts w:ascii="Arial" w:cs="Arial" w:eastAsia="Arial" w:hAnsi="Arial"/>
          <w:b/>
          <w:bCs/>
          <w:color w:val="1E293B"/>
          <w:sz w:val="36"/>
          <w:szCs w:val="36"/>
        </w:rPr>
        <w:t xml:space="preserve">Privacy Policy</w:t>
      </w:r>
    </w:p>
    <w:p>
      <w:pPr>
        <w:spacing w:after="80" w:before="160"/>
        <w:jc w:val="center"/>
      </w:pPr>
      <w:r>
        <w:rPr>
          <w:rFonts w:ascii="Arial" w:cs="Arial" w:eastAsia="Arial" w:hAnsi="Arial"/>
          <w:i/>
          <w:iCs/>
          <w:color w:val="64748B"/>
          <w:sz w:val="22"/>
          <w:szCs w:val="22"/>
        </w:rPr>
        <w:t xml:space="preserve">HIPAA &amp; GDPR Compliant</w:t>
      </w:r>
    </w:p>
    <w:p>
      <w:pPr>
        <w:spacing w:after="480"/>
        <w:jc w:val="center"/>
      </w:pPr>
      <w:r>
        <w:rPr>
          <w:rFonts w:ascii="Arial" w:cs="Arial" w:eastAsia="Arial" w:hAnsi="Arial"/>
          <w:color w:val="64748B"/>
          <w:sz w:val="20"/>
          <w:szCs w:val="20"/>
        </w:rPr>
        <w:t xml:space="preserve">Effective Date: June 19, 2026</w:t>
      </w:r>
    </w:p>
    <w:p>
      <w:pPr>
        <w:pStyle w:val="Heading1"/>
      </w:pPr>
      <w:r>
        <w:t xml:space="preserve">1. Introduction</w:t>
      </w:r>
    </w:p>
    <w:p>
      <w:pPr>
        <w:spacing w:after="160"/>
      </w:pPr>
      <w:r>
        <w:t xml:space="preserve">Qliniqit ("we," "us," or "our") operates www.qliniqit.com, a global telemedicine and healthcare provider discovery platform. We are committed to protecting your privacy and handling your personal and health information with the utmost care and in compliance with applicable laws, including the Health Insurance Portability and Accountability Act (HIPAA), the General Data Protection Regulation (GDPR), and applicable Jordanian data protection legislation.</w:t>
      </w:r>
    </w:p>
    <w:p>
      <w:pPr>
        <w:spacing w:after="160"/>
      </w:pPr>
      <w:r>
        <w:t xml:space="preserve">This Privacy Policy explains what information we collect, how we use it, who we share it with, and the rights you have regarding your information. By using Qliniqit, you agree to the practices described in this Policy.</w:t>
      </w:r>
    </w:p>
    <w:p>
      <w:r>
        <w:t xml:space="preserve"/>
      </w:r>
    </w:p>
    <w:p>
      <w:pPr>
        <w:pStyle w:val="Heading1"/>
      </w:pPr>
      <w:r>
        <w:t xml:space="preserve">2. Information We Collect</w:t>
      </w:r>
    </w:p>
    <w:p>
      <w:pPr>
        <w:pStyle w:val="Heading2"/>
      </w:pPr>
      <w:r>
        <w:t xml:space="preserve">2.1 Information You Provide</w:t>
      </w:r>
    </w:p>
    <w:p>
      <w:pPr>
        <w:pStyle w:val="ListParagraph"/>
        <w:numPr>
          <w:ilvl w:val="0"/>
          <w:numId w:val="2"/>
        </w:numPr>
        <w:spacing w:after="80"/>
      </w:pPr>
      <w:r>
        <w:rPr>
          <w:rFonts w:ascii="Arial" w:cs="Arial" w:eastAsia="Arial" w:hAnsi="Arial"/>
          <w:sz w:val="22"/>
          <w:szCs w:val="22"/>
        </w:rPr>
        <w:t xml:space="preserve">Identity data: full name, date of birth, gender, nationality</w:t>
      </w:r>
    </w:p>
    <w:p>
      <w:pPr>
        <w:pStyle w:val="ListParagraph"/>
        <w:numPr>
          <w:ilvl w:val="0"/>
          <w:numId w:val="2"/>
        </w:numPr>
        <w:spacing w:after="80"/>
      </w:pPr>
      <w:r>
        <w:rPr>
          <w:rFonts w:ascii="Arial" w:cs="Arial" w:eastAsia="Arial" w:hAnsi="Arial"/>
          <w:sz w:val="22"/>
          <w:szCs w:val="22"/>
        </w:rPr>
        <w:t xml:space="preserve">Contact data: email address, phone number, mailing address</w:t>
      </w:r>
    </w:p>
    <w:p>
      <w:pPr>
        <w:pStyle w:val="ListParagraph"/>
        <w:numPr>
          <w:ilvl w:val="0"/>
          <w:numId w:val="2"/>
        </w:numPr>
        <w:spacing w:after="80"/>
      </w:pPr>
      <w:r>
        <w:rPr>
          <w:rFonts w:ascii="Arial" w:cs="Arial" w:eastAsia="Arial" w:hAnsi="Arial"/>
          <w:sz w:val="22"/>
          <w:szCs w:val="22"/>
        </w:rPr>
        <w:t xml:space="preserve">Account credentials: username and encrypted password</w:t>
      </w:r>
    </w:p>
    <w:p>
      <w:pPr>
        <w:pStyle w:val="ListParagraph"/>
        <w:numPr>
          <w:ilvl w:val="0"/>
          <w:numId w:val="2"/>
        </w:numPr>
        <w:spacing w:after="80"/>
      </w:pPr>
      <w:r>
        <w:rPr>
          <w:rFonts w:ascii="Arial" w:cs="Arial" w:eastAsia="Arial" w:hAnsi="Arial"/>
          <w:sz w:val="22"/>
          <w:szCs w:val="22"/>
        </w:rPr>
        <w:t xml:space="preserve">Health information: symptoms, medical history, prescriptions, consultation notes, diagnoses</w:t>
      </w:r>
    </w:p>
    <w:p>
      <w:pPr>
        <w:pStyle w:val="ListParagraph"/>
        <w:numPr>
          <w:ilvl w:val="0"/>
          <w:numId w:val="2"/>
        </w:numPr>
        <w:spacing w:after="80"/>
      </w:pPr>
      <w:r>
        <w:rPr>
          <w:rFonts w:ascii="Arial" w:cs="Arial" w:eastAsia="Arial" w:hAnsi="Arial"/>
          <w:sz w:val="22"/>
          <w:szCs w:val="22"/>
        </w:rPr>
        <w:t xml:space="preserve">Payment information: billing address, card details (processed by Stripe; we do not store raw card numbers)</w:t>
      </w:r>
    </w:p>
    <w:p>
      <w:pPr>
        <w:pStyle w:val="ListParagraph"/>
        <w:numPr>
          <w:ilvl w:val="0"/>
          <w:numId w:val="2"/>
        </w:numPr>
        <w:spacing w:after="80"/>
      </w:pPr>
      <w:r>
        <w:rPr>
          <w:rFonts w:ascii="Arial" w:cs="Arial" w:eastAsia="Arial" w:hAnsi="Arial"/>
          <w:sz w:val="22"/>
          <w:szCs w:val="22"/>
        </w:rPr>
        <w:t xml:space="preserve">Professional data (providers only): medical license number, specialty, credentials, institution affiliation</w:t>
      </w:r>
    </w:p>
    <w:p>
      <w:r>
        <w:t xml:space="preserve"/>
      </w:r>
    </w:p>
    <w:p>
      <w:pPr>
        <w:pStyle w:val="Heading2"/>
      </w:pPr>
      <w:r>
        <w:t xml:space="preserve">2.2 Information Collected Automatically</w:t>
      </w:r>
    </w:p>
    <w:p>
      <w:pPr>
        <w:pStyle w:val="ListParagraph"/>
        <w:numPr>
          <w:ilvl w:val="0"/>
          <w:numId w:val="2"/>
        </w:numPr>
        <w:spacing w:after="80"/>
      </w:pPr>
      <w:r>
        <w:rPr>
          <w:rFonts w:ascii="Arial" w:cs="Arial" w:eastAsia="Arial" w:hAnsi="Arial"/>
          <w:sz w:val="22"/>
          <w:szCs w:val="22"/>
        </w:rPr>
        <w:t xml:space="preserve">Usage data: pages visited, features used, session duration, clicks</w:t>
      </w:r>
    </w:p>
    <w:p>
      <w:pPr>
        <w:pStyle w:val="ListParagraph"/>
        <w:numPr>
          <w:ilvl w:val="0"/>
          <w:numId w:val="2"/>
        </w:numPr>
        <w:spacing w:after="80"/>
      </w:pPr>
      <w:r>
        <w:rPr>
          <w:rFonts w:ascii="Arial" w:cs="Arial" w:eastAsia="Arial" w:hAnsi="Arial"/>
          <w:sz w:val="22"/>
          <w:szCs w:val="22"/>
        </w:rPr>
        <w:t xml:space="preserve">Device data: IP address, browser type, operating system, device identifiers</w:t>
      </w:r>
    </w:p>
    <w:p>
      <w:pPr>
        <w:pStyle w:val="ListParagraph"/>
        <w:numPr>
          <w:ilvl w:val="0"/>
          <w:numId w:val="2"/>
        </w:numPr>
        <w:spacing w:after="80"/>
      </w:pPr>
      <w:r>
        <w:rPr>
          <w:rFonts w:ascii="Arial" w:cs="Arial" w:eastAsia="Arial" w:hAnsi="Arial"/>
          <w:sz w:val="22"/>
          <w:szCs w:val="22"/>
        </w:rPr>
        <w:t xml:space="preserve">Location data: country and region (derived from IP address)</w:t>
      </w:r>
    </w:p>
    <w:p>
      <w:pPr>
        <w:pStyle w:val="ListParagraph"/>
        <w:numPr>
          <w:ilvl w:val="0"/>
          <w:numId w:val="2"/>
        </w:numPr>
        <w:spacing w:after="80"/>
      </w:pPr>
      <w:r>
        <w:rPr>
          <w:rFonts w:ascii="Arial" w:cs="Arial" w:eastAsia="Arial" w:hAnsi="Arial"/>
          <w:sz w:val="22"/>
          <w:szCs w:val="22"/>
        </w:rPr>
        <w:t xml:space="preserve">Cookies and similar tracking technologies (see Section 9)</w:t>
      </w:r>
    </w:p>
    <w:p>
      <w:r>
        <w:t xml:space="preserve"/>
      </w:r>
    </w:p>
    <w:p>
      <w:pPr>
        <w:pStyle w:val="Heading2"/>
      </w:pPr>
      <w:r>
        <w:t xml:space="preserve">2.3 Information from Third Parties</w:t>
      </w:r>
    </w:p>
    <w:p>
      <w:pPr>
        <w:pStyle w:val="ListParagraph"/>
        <w:numPr>
          <w:ilvl w:val="0"/>
          <w:numId w:val="2"/>
        </w:numPr>
        <w:spacing w:after="80"/>
      </w:pPr>
      <w:r>
        <w:rPr>
          <w:rFonts w:ascii="Arial" w:cs="Arial" w:eastAsia="Arial" w:hAnsi="Arial"/>
          <w:sz w:val="22"/>
          <w:szCs w:val="22"/>
        </w:rPr>
        <w:t xml:space="preserve">Video consultation data from Daily.co (session metadata only; video content is end-to-end encrypted)</w:t>
      </w:r>
    </w:p>
    <w:p>
      <w:pPr>
        <w:pStyle w:val="ListParagraph"/>
        <w:numPr>
          <w:ilvl w:val="0"/>
          <w:numId w:val="2"/>
        </w:numPr>
        <w:spacing w:after="80"/>
      </w:pPr>
      <w:r>
        <w:rPr>
          <w:rFonts w:ascii="Arial" w:cs="Arial" w:eastAsia="Arial" w:hAnsi="Arial"/>
          <w:sz w:val="22"/>
          <w:szCs w:val="22"/>
        </w:rPr>
        <w:t xml:space="preserve">Payment confirmation data from Stripe</w:t>
      </w:r>
    </w:p>
    <w:p>
      <w:pPr>
        <w:pStyle w:val="ListParagraph"/>
        <w:numPr>
          <w:ilvl w:val="0"/>
          <w:numId w:val="2"/>
        </w:numPr>
        <w:spacing w:after="80"/>
      </w:pPr>
      <w:r>
        <w:rPr>
          <w:rFonts w:ascii="Arial" w:cs="Arial" w:eastAsia="Arial" w:hAnsi="Arial"/>
          <w:sz w:val="22"/>
          <w:szCs w:val="22"/>
        </w:rPr>
        <w:t xml:space="preserve">Authentication data if you sign in via a social provider</w:t>
      </w:r>
    </w:p>
    <w:p>
      <w:r>
        <w:t xml:space="preserve"/>
      </w:r>
    </w:p>
    <w:p>
      <w:pPr>
        <w:pStyle w:val="Heading1"/>
      </w:pPr>
      <w:r>
        <w:t xml:space="preserve">3. How We Use Your Information</w:t>
      </w:r>
    </w:p>
    <w:p>
      <w:pPr>
        <w:pStyle w:val="Heading2"/>
      </w:pPr>
      <w:r>
        <w:t xml:space="preserve">3.1 To Provide Services</w:t>
      </w:r>
    </w:p>
    <w:p>
      <w:pPr>
        <w:pStyle w:val="ListParagraph"/>
        <w:numPr>
          <w:ilvl w:val="0"/>
          <w:numId w:val="2"/>
        </w:numPr>
        <w:spacing w:after="80"/>
      </w:pPr>
      <w:r>
        <w:rPr>
          <w:rFonts w:ascii="Arial" w:cs="Arial" w:eastAsia="Arial" w:hAnsi="Arial"/>
          <w:sz w:val="22"/>
          <w:szCs w:val="22"/>
        </w:rPr>
        <w:t xml:space="preserve">Create and manage your account</w:t>
      </w:r>
    </w:p>
    <w:p>
      <w:pPr>
        <w:pStyle w:val="ListParagraph"/>
        <w:numPr>
          <w:ilvl w:val="0"/>
          <w:numId w:val="2"/>
        </w:numPr>
        <w:spacing w:after="80"/>
      </w:pPr>
      <w:r>
        <w:rPr>
          <w:rFonts w:ascii="Arial" w:cs="Arial" w:eastAsia="Arial" w:hAnsi="Arial"/>
          <w:sz w:val="22"/>
          <w:szCs w:val="22"/>
        </w:rPr>
        <w:t xml:space="preserve">Match members with healthcare providers</w:t>
      </w:r>
    </w:p>
    <w:p>
      <w:pPr>
        <w:pStyle w:val="ListParagraph"/>
        <w:numPr>
          <w:ilvl w:val="0"/>
          <w:numId w:val="2"/>
        </w:numPr>
        <w:spacing w:after="80"/>
      </w:pPr>
      <w:r>
        <w:rPr>
          <w:rFonts w:ascii="Arial" w:cs="Arial" w:eastAsia="Arial" w:hAnsi="Arial"/>
          <w:sz w:val="22"/>
          <w:szCs w:val="22"/>
        </w:rPr>
        <w:t xml:space="preserve">Facilitate in-clinic and video consultations</w:t>
      </w:r>
    </w:p>
    <w:p>
      <w:pPr>
        <w:pStyle w:val="ListParagraph"/>
        <w:numPr>
          <w:ilvl w:val="0"/>
          <w:numId w:val="2"/>
        </w:numPr>
        <w:spacing w:after="80"/>
      </w:pPr>
      <w:r>
        <w:rPr>
          <w:rFonts w:ascii="Arial" w:cs="Arial" w:eastAsia="Arial" w:hAnsi="Arial"/>
          <w:sz w:val="22"/>
          <w:szCs w:val="22"/>
        </w:rPr>
        <w:t xml:space="preserve">Process payments and issue receipts</w:t>
      </w:r>
    </w:p>
    <w:p>
      <w:pPr>
        <w:pStyle w:val="ListParagraph"/>
        <w:numPr>
          <w:ilvl w:val="0"/>
          <w:numId w:val="2"/>
        </w:numPr>
        <w:spacing w:after="80"/>
      </w:pPr>
      <w:r>
        <w:rPr>
          <w:rFonts w:ascii="Arial" w:cs="Arial" w:eastAsia="Arial" w:hAnsi="Arial"/>
          <w:sz w:val="22"/>
          <w:szCs w:val="22"/>
        </w:rPr>
        <w:t xml:space="preserve">Send appointment confirmations, reminders, and follow-up communications</w:t>
      </w:r>
    </w:p>
    <w:p>
      <w:r>
        <w:t xml:space="preserve"/>
      </w:r>
    </w:p>
    <w:p>
      <w:pPr>
        <w:pStyle w:val="Heading2"/>
      </w:pPr>
      <w:r>
        <w:t xml:space="preserve">3.2 For Safety and Compliance</w:t>
      </w:r>
    </w:p>
    <w:p>
      <w:pPr>
        <w:pStyle w:val="ListParagraph"/>
        <w:numPr>
          <w:ilvl w:val="0"/>
          <w:numId w:val="2"/>
        </w:numPr>
        <w:spacing w:after="80"/>
      </w:pPr>
      <w:r>
        <w:rPr>
          <w:rFonts w:ascii="Arial" w:cs="Arial" w:eastAsia="Arial" w:hAnsi="Arial"/>
          <w:sz w:val="22"/>
          <w:szCs w:val="22"/>
        </w:rPr>
        <w:t xml:space="preserve">Verify provider credentials and licenses</w:t>
      </w:r>
    </w:p>
    <w:p>
      <w:pPr>
        <w:pStyle w:val="ListParagraph"/>
        <w:numPr>
          <w:ilvl w:val="0"/>
          <w:numId w:val="2"/>
        </w:numPr>
        <w:spacing w:after="80"/>
      </w:pPr>
      <w:r>
        <w:rPr>
          <w:rFonts w:ascii="Arial" w:cs="Arial" w:eastAsia="Arial" w:hAnsi="Arial"/>
          <w:sz w:val="22"/>
          <w:szCs w:val="22"/>
        </w:rPr>
        <w:t xml:space="preserve">Detect and prevent fraud and unauthorized access</w:t>
      </w:r>
    </w:p>
    <w:p>
      <w:pPr>
        <w:pStyle w:val="ListParagraph"/>
        <w:numPr>
          <w:ilvl w:val="0"/>
          <w:numId w:val="2"/>
        </w:numPr>
        <w:spacing w:after="80"/>
      </w:pPr>
      <w:r>
        <w:rPr>
          <w:rFonts w:ascii="Arial" w:cs="Arial" w:eastAsia="Arial" w:hAnsi="Arial"/>
          <w:sz w:val="22"/>
          <w:szCs w:val="22"/>
        </w:rPr>
        <w:t xml:space="preserve">Comply with legal obligations, court orders, and regulatory requirements</w:t>
      </w:r>
    </w:p>
    <w:p>
      <w:pPr>
        <w:pStyle w:val="ListParagraph"/>
        <w:numPr>
          <w:ilvl w:val="0"/>
          <w:numId w:val="2"/>
        </w:numPr>
        <w:spacing w:after="80"/>
      </w:pPr>
      <w:r>
        <w:rPr>
          <w:rFonts w:ascii="Arial" w:cs="Arial" w:eastAsia="Arial" w:hAnsi="Arial"/>
          <w:sz w:val="22"/>
          <w:szCs w:val="22"/>
        </w:rPr>
        <w:t xml:space="preserve">Maintain audit logs as required by HIPAA</w:t>
      </w:r>
    </w:p>
    <w:p>
      <w:r>
        <w:t xml:space="preserve"/>
      </w:r>
    </w:p>
    <w:p>
      <w:pPr>
        <w:pStyle w:val="Heading2"/>
      </w:pPr>
      <w:r>
        <w:t xml:space="preserve">3.3 To Improve the Platform</w:t>
      </w:r>
    </w:p>
    <w:p>
      <w:pPr>
        <w:pStyle w:val="ListParagraph"/>
        <w:numPr>
          <w:ilvl w:val="0"/>
          <w:numId w:val="2"/>
        </w:numPr>
        <w:spacing w:after="80"/>
      </w:pPr>
      <w:r>
        <w:rPr>
          <w:rFonts w:ascii="Arial" w:cs="Arial" w:eastAsia="Arial" w:hAnsi="Arial"/>
          <w:sz w:val="22"/>
          <w:szCs w:val="22"/>
        </w:rPr>
        <w:t xml:space="preserve">Analyze usage patterns to improve features and performance</w:t>
      </w:r>
    </w:p>
    <w:p>
      <w:pPr>
        <w:pStyle w:val="ListParagraph"/>
        <w:numPr>
          <w:ilvl w:val="0"/>
          <w:numId w:val="2"/>
        </w:numPr>
        <w:spacing w:after="80"/>
      </w:pPr>
      <w:r>
        <w:rPr>
          <w:rFonts w:ascii="Arial" w:cs="Arial" w:eastAsia="Arial" w:hAnsi="Arial"/>
          <w:sz w:val="22"/>
          <w:szCs w:val="22"/>
        </w:rPr>
        <w:t xml:space="preserve">Conduct research and analytics (on anonymized or aggregated data only)</w:t>
      </w:r>
    </w:p>
    <w:p>
      <w:pPr>
        <w:pStyle w:val="ListParagraph"/>
        <w:numPr>
          <w:ilvl w:val="0"/>
          <w:numId w:val="2"/>
        </w:numPr>
        <w:spacing w:after="80"/>
      </w:pPr>
      <w:r>
        <w:rPr>
          <w:rFonts w:ascii="Arial" w:cs="Arial" w:eastAsia="Arial" w:hAnsi="Arial"/>
          <w:sz w:val="22"/>
          <w:szCs w:val="22"/>
        </w:rPr>
        <w:t xml:space="preserve">Send service-related notifications and, with your consent, marketing communications</w:t>
      </w:r>
    </w:p>
    <w:p>
      <w:r>
        <w:t xml:space="preserve"/>
      </w:r>
    </w:p>
    <w:p>
      <w:pPr>
        <w:pStyle w:val="Heading1"/>
      </w:pPr>
      <w:r>
        <w:t xml:space="preserve">4. Legal Bases for Processing (GDPR)</w:t>
      </w:r>
    </w:p>
    <w:p>
      <w:pPr>
        <w:spacing w:after="160"/>
      </w:pPr>
      <w:r>
        <w:t xml:space="preserve">For users in the European Economic Area (EEA), the United Kingdom, and other GDPR-applicable jurisdictions, we process your personal data under the following legal bases:</w:t>
      </w:r>
    </w:p>
    <w:p>
      <w:pPr>
        <w:pStyle w:val="ListParagraph"/>
        <w:numPr>
          <w:ilvl w:val="0"/>
          <w:numId w:val="2"/>
        </w:numPr>
        <w:spacing w:after="80"/>
      </w:pPr>
      <w:r>
        <w:rPr>
          <w:rFonts w:ascii="Arial" w:cs="Arial" w:eastAsia="Arial" w:hAnsi="Arial"/>
          <w:sz w:val="22"/>
          <w:szCs w:val="22"/>
        </w:rPr>
        <w:t xml:space="preserve">Contract performance: to provide the services you requested</w:t>
      </w:r>
    </w:p>
    <w:p>
      <w:pPr>
        <w:pStyle w:val="ListParagraph"/>
        <w:numPr>
          <w:ilvl w:val="0"/>
          <w:numId w:val="2"/>
        </w:numPr>
        <w:spacing w:after="80"/>
      </w:pPr>
      <w:r>
        <w:rPr>
          <w:rFonts w:ascii="Arial" w:cs="Arial" w:eastAsia="Arial" w:hAnsi="Arial"/>
          <w:sz w:val="22"/>
          <w:szCs w:val="22"/>
        </w:rPr>
        <w:t xml:space="preserve">Legitimate interests: to improve the platform, prevent fraud, and ensure security</w:t>
      </w:r>
    </w:p>
    <w:p>
      <w:pPr>
        <w:pStyle w:val="ListParagraph"/>
        <w:numPr>
          <w:ilvl w:val="0"/>
          <w:numId w:val="2"/>
        </w:numPr>
        <w:spacing w:after="80"/>
      </w:pPr>
      <w:r>
        <w:rPr>
          <w:rFonts w:ascii="Arial" w:cs="Arial" w:eastAsia="Arial" w:hAnsi="Arial"/>
          <w:sz w:val="22"/>
          <w:szCs w:val="22"/>
        </w:rPr>
        <w:t xml:space="preserve">Legal obligation: to comply with applicable laws</w:t>
      </w:r>
    </w:p>
    <w:p>
      <w:pPr>
        <w:pStyle w:val="ListParagraph"/>
        <w:numPr>
          <w:ilvl w:val="0"/>
          <w:numId w:val="2"/>
        </w:numPr>
        <w:spacing w:after="80"/>
      </w:pPr>
      <w:r>
        <w:rPr>
          <w:rFonts w:ascii="Arial" w:cs="Arial" w:eastAsia="Arial" w:hAnsi="Arial"/>
          <w:sz w:val="22"/>
          <w:szCs w:val="22"/>
        </w:rPr>
        <w:t xml:space="preserve">Consent: for optional communications and non-essential cookies</w:t>
      </w:r>
    </w:p>
    <w:p>
      <w:pPr>
        <w:pStyle w:val="ListParagraph"/>
        <w:numPr>
          <w:ilvl w:val="0"/>
          <w:numId w:val="2"/>
        </w:numPr>
        <w:spacing w:after="80"/>
      </w:pPr>
      <w:r>
        <w:rPr>
          <w:rFonts w:ascii="Arial" w:cs="Arial" w:eastAsia="Arial" w:hAnsi="Arial"/>
          <w:sz w:val="22"/>
          <w:szCs w:val="22"/>
        </w:rPr>
        <w:t xml:space="preserve">Vital interests: in emergency situations where processing is necessary to protect life</w:t>
      </w:r>
    </w:p>
    <w:p>
      <w:r>
        <w:t xml:space="preserve"/>
      </w:r>
    </w:p>
    <w:p>
      <w:pPr>
        <w:pStyle w:val="Heading1"/>
      </w:pPr>
      <w:r>
        <w:t xml:space="preserve">5. How We Share Your Information</w:t>
      </w:r>
    </w:p>
    <w:p>
      <w:pPr>
        <w:pStyle w:val="Heading2"/>
      </w:pPr>
      <w:r>
        <w:t xml:space="preserve">5.1 With Healthcare Providers</w:t>
      </w:r>
    </w:p>
    <w:p>
      <w:pPr>
        <w:spacing w:after="160"/>
      </w:pPr>
      <w:r>
        <w:t xml:space="preserve">When you book a consultation, we share the health information you provide with the relevant provider to enable them to deliver care. Providers are bound by professional confidentiality obligations and our Provider Agreement.</w:t>
      </w:r>
    </w:p>
    <w:p>
      <w:r>
        <w:t xml:space="preserve"/>
      </w:r>
    </w:p>
    <w:p>
      <w:pPr>
        <w:pStyle w:val="Heading2"/>
      </w:pPr>
      <w:r>
        <w:t xml:space="preserve">5.2 With Service Providers (Business Associates)</w:t>
      </w:r>
    </w:p>
    <w:p>
      <w:pPr>
        <w:spacing w:after="160"/>
      </w:pPr>
      <w:r>
        <w:t xml:space="preserve">We engage third-party vendors who process data on our behalf under signed Business Associate Agreements (BAAs) or Data Processing Agreements (DPAs):</w:t>
      </w:r>
    </w:p>
    <w:p>
      <w:pPr>
        <w:pStyle w:val="ListParagraph"/>
        <w:numPr>
          <w:ilvl w:val="0"/>
          <w:numId w:val="2"/>
        </w:numPr>
        <w:spacing w:after="80"/>
      </w:pPr>
      <w:r>
        <w:rPr>
          <w:rFonts w:ascii="Arial" w:cs="Arial" w:eastAsia="Arial" w:hAnsi="Arial"/>
          <w:sz w:val="22"/>
          <w:szCs w:val="22"/>
        </w:rPr>
        <w:t xml:space="preserve">Daily.co: video consultation infrastructure (HIPAA BAA in place)</w:t>
      </w:r>
    </w:p>
    <w:p>
      <w:pPr>
        <w:pStyle w:val="ListParagraph"/>
        <w:numPr>
          <w:ilvl w:val="0"/>
          <w:numId w:val="2"/>
        </w:numPr>
        <w:spacing w:after="80"/>
      </w:pPr>
      <w:r>
        <w:rPr>
          <w:rFonts w:ascii="Arial" w:cs="Arial" w:eastAsia="Arial" w:hAnsi="Arial"/>
          <w:sz w:val="22"/>
          <w:szCs w:val="22"/>
        </w:rPr>
        <w:t xml:space="preserve">Stripe: payment processing (BAA/DPA in place)</w:t>
      </w:r>
    </w:p>
    <w:p>
      <w:pPr>
        <w:pStyle w:val="ListParagraph"/>
        <w:numPr>
          <w:ilvl w:val="0"/>
          <w:numId w:val="2"/>
        </w:numPr>
        <w:spacing w:after="80"/>
      </w:pPr>
      <w:r>
        <w:rPr>
          <w:rFonts w:ascii="Arial" w:cs="Arial" w:eastAsia="Arial" w:hAnsi="Arial"/>
          <w:sz w:val="22"/>
          <w:szCs w:val="22"/>
        </w:rPr>
        <w:t xml:space="preserve">Amazon Web Services (AWS): cloud hosting and storage (HIPAA BAA in place)</w:t>
      </w:r>
    </w:p>
    <w:p>
      <w:pPr>
        <w:pStyle w:val="ListParagraph"/>
        <w:numPr>
          <w:ilvl w:val="0"/>
          <w:numId w:val="2"/>
        </w:numPr>
        <w:spacing w:after="80"/>
      </w:pPr>
      <w:r>
        <w:rPr>
          <w:rFonts w:ascii="Arial" w:cs="Arial" w:eastAsia="Arial" w:hAnsi="Arial"/>
          <w:sz w:val="22"/>
          <w:szCs w:val="22"/>
        </w:rPr>
        <w:t xml:space="preserve">Supabase: authentication and database services (BAA in place)</w:t>
      </w:r>
    </w:p>
    <w:p>
      <w:r>
        <w:t xml:space="preserve"/>
      </w:r>
    </w:p>
    <w:p>
      <w:pPr>
        <w:pStyle w:val="Heading2"/>
      </w:pPr>
      <w:r>
        <w:t xml:space="preserve">5.3 Legal Requirements</w:t>
      </w:r>
    </w:p>
    <w:p>
      <w:pPr>
        <w:spacing w:after="160"/>
      </w:pPr>
      <w:r>
        <w:t xml:space="preserve">We may disclose information if required by law, subpoena, court order, or to protect the rights, property, or safety of Qliniqit, our users, or the public.</w:t>
      </w:r>
    </w:p>
    <w:p>
      <w:r>
        <w:t xml:space="preserve"/>
      </w:r>
    </w:p>
    <w:p>
      <w:pPr>
        <w:pStyle w:val="Heading2"/>
      </w:pPr>
      <w:r>
        <w:t xml:space="preserve">5.4 Business Transfers</w:t>
      </w:r>
    </w:p>
    <w:p>
      <w:pPr>
        <w:spacing w:after="160"/>
      </w:pPr>
      <w:r>
        <w:t xml:space="preserve">In the event of a merger, acquisition, or sale of assets, your information may be transferred. We will notify you before your information is transferred and becomes subject to a different privacy policy.</w:t>
      </w:r>
    </w:p>
    <w:p>
      <w:r>
        <w:t xml:space="preserve"/>
      </w:r>
    </w:p>
    <w:p>
      <w:pPr>
        <w:pStyle w:val="Heading2"/>
      </w:pPr>
      <w:r>
        <w:t xml:space="preserve">5.5 No Sale of Personal Data</w:t>
      </w:r>
    </w:p>
    <w:p>
      <w:pPr>
        <w:spacing w:after="160"/>
      </w:pPr>
      <w:r>
        <w:t xml:space="preserve">We do not sell, rent, or trade your personal or health information to any third party for marketing purposes.</w:t>
      </w:r>
    </w:p>
    <w:p>
      <w:r>
        <w:t xml:space="preserve"/>
      </w:r>
    </w:p>
    <w:p>
      <w:pPr>
        <w:pStyle w:val="Heading1"/>
      </w:pPr>
      <w:r>
        <w:t xml:space="preserve">6. Data Retention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shd w:fill="1A56C4" w:val="clear"/>
            <w:tcMar>
              <w:top w:type="dxa" w:w="100"/>
              <w:left w:type="dxa" w:w="150"/>
              <w:bottom w:type="dxa" w:w="100"/>
              <w:right w:type="dxa" w:w="150"/>
            </w:tcMar>
          </w:tcPr>
          <w:p>
            <w:r>
              <w:rPr>
                <w:rFonts w:ascii="Arial" w:cs="Arial" w:eastAsia="Arial" w:hAnsi="Arial"/>
                <w:b/>
                <w:bCs/>
                <w:color w:val="FFFFFF"/>
                <w:sz w:val="20"/>
                <w:szCs w:val="20"/>
              </w:rPr>
              <w:t xml:space="preserve">Data Type</w:t>
            </w:r>
          </w:p>
        </w:tc>
        <w:tc>
          <w:tcPr>
            <w:tcW w:type="dxa" w:w="6480"/>
            <w:shd w:fill="1A56C4" w:val="clear"/>
            <w:tcMar>
              <w:top w:type="dxa" w:w="100"/>
              <w:left w:type="dxa" w:w="150"/>
              <w:bottom w:type="dxa" w:w="100"/>
              <w:right w:type="dxa" w:w="150"/>
            </w:tcMar>
          </w:tcPr>
          <w:p>
            <w:r>
              <w:rPr>
                <w:rFonts w:ascii="Arial" w:cs="Arial" w:eastAsia="Arial" w:hAnsi="Arial"/>
                <w:b/>
                <w:bCs/>
                <w:color w:val="FFFFFF"/>
                <w:sz w:val="20"/>
                <w:szCs w:val="20"/>
              </w:rPr>
              <w:t xml:space="preserve">Retention Period</w:t>
            </w:r>
          </w:p>
        </w:tc>
      </w:tr>
      <w:tr>
        <w:tc>
          <w:tcPr>
            <w:tcW w:type="dxa" w:w="3600"/>
            <w:shd w:fill="F8FAFC" w:val="clear"/>
            <w:tcMar>
              <w:top w:type="dxa" w:w="80"/>
              <w:left w:type="dxa" w:w="150"/>
              <w:bottom w:type="dxa" w:w="80"/>
              <w:right w:type="dxa" w:w="150"/>
            </w:tcMar>
          </w:tcPr>
          <w:p>
            <w:r>
              <w:rPr>
                <w:rFonts w:ascii="Arial" w:cs="Arial" w:eastAsia="Arial" w:hAnsi="Arial"/>
                <w:sz w:val="20"/>
                <w:szCs w:val="20"/>
              </w:rPr>
              <w:t xml:space="preserve">Health records &amp; consultation notes</w:t>
            </w:r>
          </w:p>
        </w:tc>
        <w:tc>
          <w:tcPr>
            <w:tcW w:type="dxa" w:w="6480"/>
            <w:shd w:fill="F8FAFC" w:val="clear"/>
            <w:tcMar>
              <w:top w:type="dxa" w:w="80"/>
              <w:left w:type="dxa" w:w="150"/>
              <w:bottom w:type="dxa" w:w="80"/>
              <w:right w:type="dxa" w:w="150"/>
            </w:tcMar>
          </w:tcPr>
          <w:p>
            <w:r>
              <w:rPr>
                <w:rFonts w:ascii="Arial" w:cs="Arial" w:eastAsia="Arial" w:hAnsi="Arial"/>
                <w:sz w:val="20"/>
                <w:szCs w:val="20"/>
              </w:rPr>
              <w:t xml:space="preserve">7 years from last interaction, or as required by applicable law</w:t>
            </w:r>
          </w:p>
        </w:tc>
      </w:tr>
      <w:tr>
        <w:tc>
          <w:tcPr>
            <w:tcW w:type="dxa" w:w="3600"/>
            <w:shd w:fill="FFFFFF" w:val="clear"/>
            <w:tcMar>
              <w:top w:type="dxa" w:w="80"/>
              <w:left w:type="dxa" w:w="150"/>
              <w:bottom w:type="dxa" w:w="80"/>
              <w:right w:type="dxa" w:w="150"/>
            </w:tcMar>
          </w:tcPr>
          <w:p>
            <w:r>
              <w:rPr>
                <w:rFonts w:ascii="Arial" w:cs="Arial" w:eastAsia="Arial" w:hAnsi="Arial"/>
                <w:sz w:val="20"/>
                <w:szCs w:val="20"/>
              </w:rPr>
              <w:t xml:space="preserve">Account information</w:t>
            </w:r>
          </w:p>
        </w:tc>
        <w:tc>
          <w:tcPr>
            <w:tcW w:type="dxa" w:w="6480"/>
            <w:shd w:fill="FFFFFF" w:val="clear"/>
            <w:tcMar>
              <w:top w:type="dxa" w:w="80"/>
              <w:left w:type="dxa" w:w="150"/>
              <w:bottom w:type="dxa" w:w="80"/>
              <w:right w:type="dxa" w:w="150"/>
            </w:tcMar>
          </w:tcPr>
          <w:p>
            <w:r>
              <w:rPr>
                <w:rFonts w:ascii="Arial" w:cs="Arial" w:eastAsia="Arial" w:hAnsi="Arial"/>
                <w:sz w:val="20"/>
                <w:szCs w:val="20"/>
              </w:rPr>
              <w:t xml:space="preserve">Duration of account, plus 3 years after closure</w:t>
            </w:r>
          </w:p>
        </w:tc>
      </w:tr>
      <w:tr>
        <w:tc>
          <w:tcPr>
            <w:tcW w:type="dxa" w:w="3600"/>
            <w:shd w:fill="F8FAFC" w:val="clear"/>
            <w:tcMar>
              <w:top w:type="dxa" w:w="80"/>
              <w:left w:type="dxa" w:w="150"/>
              <w:bottom w:type="dxa" w:w="80"/>
              <w:right w:type="dxa" w:w="150"/>
            </w:tcMar>
          </w:tcPr>
          <w:p>
            <w:r>
              <w:rPr>
                <w:rFonts w:ascii="Arial" w:cs="Arial" w:eastAsia="Arial" w:hAnsi="Arial"/>
                <w:sz w:val="20"/>
                <w:szCs w:val="20"/>
              </w:rPr>
              <w:t xml:space="preserve">Payment records</w:t>
            </w:r>
          </w:p>
        </w:tc>
        <w:tc>
          <w:tcPr>
            <w:tcW w:type="dxa" w:w="6480"/>
            <w:shd w:fill="F8FAFC" w:val="clear"/>
            <w:tcMar>
              <w:top w:type="dxa" w:w="80"/>
              <w:left w:type="dxa" w:w="150"/>
              <w:bottom w:type="dxa" w:w="80"/>
              <w:right w:type="dxa" w:w="150"/>
            </w:tcMar>
          </w:tcPr>
          <w:p>
            <w:r>
              <w:rPr>
                <w:rFonts w:ascii="Arial" w:cs="Arial" w:eastAsia="Arial" w:hAnsi="Arial"/>
                <w:sz w:val="20"/>
                <w:szCs w:val="20"/>
              </w:rPr>
              <w:t xml:space="preserve">7 years (financial regulations)</w:t>
            </w:r>
          </w:p>
        </w:tc>
      </w:tr>
      <w:tr>
        <w:tc>
          <w:tcPr>
            <w:tcW w:type="dxa" w:w="3600"/>
            <w:shd w:fill="FFFFFF" w:val="clear"/>
            <w:tcMar>
              <w:top w:type="dxa" w:w="80"/>
              <w:left w:type="dxa" w:w="150"/>
              <w:bottom w:type="dxa" w:w="80"/>
              <w:right w:type="dxa" w:w="150"/>
            </w:tcMar>
          </w:tcPr>
          <w:p>
            <w:r>
              <w:rPr>
                <w:rFonts w:ascii="Arial" w:cs="Arial" w:eastAsia="Arial" w:hAnsi="Arial"/>
                <w:sz w:val="20"/>
                <w:szCs w:val="20"/>
              </w:rPr>
              <w:t xml:space="preserve">Audit logs (HIPAA)</w:t>
            </w:r>
          </w:p>
        </w:tc>
        <w:tc>
          <w:tcPr>
            <w:tcW w:type="dxa" w:w="6480"/>
            <w:shd w:fill="FFFFFF" w:val="clear"/>
            <w:tcMar>
              <w:top w:type="dxa" w:w="80"/>
              <w:left w:type="dxa" w:w="150"/>
              <w:bottom w:type="dxa" w:w="80"/>
              <w:right w:type="dxa" w:w="150"/>
            </w:tcMar>
          </w:tcPr>
          <w:p>
            <w:r>
              <w:rPr>
                <w:rFonts w:ascii="Arial" w:cs="Arial" w:eastAsia="Arial" w:hAnsi="Arial"/>
                <w:sz w:val="20"/>
                <w:szCs w:val="20"/>
              </w:rPr>
              <w:t xml:space="preserve">6 years from creation</w:t>
            </w:r>
          </w:p>
        </w:tc>
      </w:tr>
      <w:tr>
        <w:tc>
          <w:tcPr>
            <w:tcW w:type="dxa" w:w="3600"/>
            <w:shd w:fill="F8FAFC" w:val="clear"/>
            <w:tcMar>
              <w:top w:type="dxa" w:w="80"/>
              <w:left w:type="dxa" w:w="150"/>
              <w:bottom w:type="dxa" w:w="80"/>
              <w:right w:type="dxa" w:w="150"/>
            </w:tcMar>
          </w:tcPr>
          <w:p>
            <w:r>
              <w:rPr>
                <w:rFonts w:ascii="Arial" w:cs="Arial" w:eastAsia="Arial" w:hAnsi="Arial"/>
                <w:sz w:val="20"/>
                <w:szCs w:val="20"/>
              </w:rPr>
              <w:t xml:space="preserve">Marketing data</w:t>
            </w:r>
          </w:p>
        </w:tc>
        <w:tc>
          <w:tcPr>
            <w:tcW w:type="dxa" w:w="6480"/>
            <w:shd w:fill="F8FAFC" w:val="clear"/>
            <w:tcMar>
              <w:top w:type="dxa" w:w="80"/>
              <w:left w:type="dxa" w:w="150"/>
              <w:bottom w:type="dxa" w:w="80"/>
              <w:right w:type="dxa" w:w="150"/>
            </w:tcMar>
          </w:tcPr>
          <w:p>
            <w:r>
              <w:rPr>
                <w:rFonts w:ascii="Arial" w:cs="Arial" w:eastAsia="Arial" w:hAnsi="Arial"/>
                <w:sz w:val="20"/>
                <w:szCs w:val="20"/>
              </w:rPr>
              <w:t xml:space="preserve">Until consent is withdrawn</w:t>
            </w:r>
          </w:p>
        </w:tc>
      </w:tr>
      <w:tr>
        <w:tc>
          <w:tcPr>
            <w:tcW w:type="dxa" w:w="3600"/>
            <w:shd w:fill="FFFFFF" w:val="clear"/>
            <w:tcMar>
              <w:top w:type="dxa" w:w="80"/>
              <w:left w:type="dxa" w:w="150"/>
              <w:bottom w:type="dxa" w:w="80"/>
              <w:right w:type="dxa" w:w="150"/>
            </w:tcMar>
          </w:tcPr>
          <w:p>
            <w:r>
              <w:rPr>
                <w:rFonts w:ascii="Arial" w:cs="Arial" w:eastAsia="Arial" w:hAnsi="Arial"/>
                <w:sz w:val="20"/>
                <w:szCs w:val="20"/>
              </w:rPr>
              <w:t xml:space="preserve">Usage/analytics data</w:t>
            </w:r>
          </w:p>
        </w:tc>
        <w:tc>
          <w:tcPr>
            <w:tcW w:type="dxa" w:w="6480"/>
            <w:shd w:fill="FFFFFF" w:val="clear"/>
            <w:tcMar>
              <w:top w:type="dxa" w:w="80"/>
              <w:left w:type="dxa" w:w="150"/>
              <w:bottom w:type="dxa" w:w="80"/>
              <w:right w:type="dxa" w:w="150"/>
            </w:tcMar>
          </w:tcPr>
          <w:p>
            <w:r>
              <w:rPr>
                <w:rFonts w:ascii="Arial" w:cs="Arial" w:eastAsia="Arial" w:hAnsi="Arial"/>
                <w:sz w:val="20"/>
                <w:szCs w:val="20"/>
              </w:rPr>
              <w:t xml:space="preserve">2 years, then anonymized</w:t>
            </w:r>
          </w:p>
        </w:tc>
      </w:tr>
    </w:tbl>
    <w:p>
      <w:r>
        <w:t xml:space="preserve"/>
      </w:r>
    </w:p>
    <w:p>
      <w:pPr>
        <w:pStyle w:val="Heading1"/>
      </w:pPr>
      <w:r>
        <w:t xml:space="preserve">7. Your Rights</w:t>
      </w:r>
    </w:p>
    <w:p>
      <w:pPr>
        <w:pStyle w:val="Heading2"/>
      </w:pPr>
      <w:r>
        <w:t xml:space="preserve">7.1 GDPR Rights (EEA/UK Users)</w:t>
      </w:r>
    </w:p>
    <w:p>
      <w:pPr>
        <w:pStyle w:val="ListParagraph"/>
        <w:numPr>
          <w:ilvl w:val="0"/>
          <w:numId w:val="2"/>
        </w:numPr>
        <w:spacing w:after="80"/>
      </w:pPr>
      <w:r>
        <w:rPr>
          <w:rFonts w:ascii="Arial" w:cs="Arial" w:eastAsia="Arial" w:hAnsi="Arial"/>
          <w:sz w:val="22"/>
          <w:szCs w:val="22"/>
        </w:rPr>
        <w:t xml:space="preserve">Right of access: request a copy of your personal data</w:t>
      </w:r>
    </w:p>
    <w:p>
      <w:pPr>
        <w:pStyle w:val="ListParagraph"/>
        <w:numPr>
          <w:ilvl w:val="0"/>
          <w:numId w:val="2"/>
        </w:numPr>
        <w:spacing w:after="80"/>
      </w:pPr>
      <w:r>
        <w:rPr>
          <w:rFonts w:ascii="Arial" w:cs="Arial" w:eastAsia="Arial" w:hAnsi="Arial"/>
          <w:sz w:val="22"/>
          <w:szCs w:val="22"/>
        </w:rPr>
        <w:t xml:space="preserve">Right to rectification: correct inaccurate data</w:t>
      </w:r>
    </w:p>
    <w:p>
      <w:pPr>
        <w:pStyle w:val="ListParagraph"/>
        <w:numPr>
          <w:ilvl w:val="0"/>
          <w:numId w:val="2"/>
        </w:numPr>
        <w:spacing w:after="80"/>
      </w:pPr>
      <w:r>
        <w:rPr>
          <w:rFonts w:ascii="Arial" w:cs="Arial" w:eastAsia="Arial" w:hAnsi="Arial"/>
          <w:sz w:val="22"/>
          <w:szCs w:val="22"/>
        </w:rPr>
        <w:t xml:space="preserve">Right to erasure: request deletion (subject to legal retention requirements)</w:t>
      </w:r>
    </w:p>
    <w:p>
      <w:pPr>
        <w:pStyle w:val="ListParagraph"/>
        <w:numPr>
          <w:ilvl w:val="0"/>
          <w:numId w:val="2"/>
        </w:numPr>
        <w:spacing w:after="80"/>
      </w:pPr>
      <w:r>
        <w:rPr>
          <w:rFonts w:ascii="Arial" w:cs="Arial" w:eastAsia="Arial" w:hAnsi="Arial"/>
          <w:sz w:val="22"/>
          <w:szCs w:val="22"/>
        </w:rPr>
        <w:t xml:space="preserve">Right to restriction: limit how we process your data</w:t>
      </w:r>
    </w:p>
    <w:p>
      <w:pPr>
        <w:pStyle w:val="ListParagraph"/>
        <w:numPr>
          <w:ilvl w:val="0"/>
          <w:numId w:val="2"/>
        </w:numPr>
        <w:spacing w:after="80"/>
      </w:pPr>
      <w:r>
        <w:rPr>
          <w:rFonts w:ascii="Arial" w:cs="Arial" w:eastAsia="Arial" w:hAnsi="Arial"/>
          <w:sz w:val="22"/>
          <w:szCs w:val="22"/>
        </w:rPr>
        <w:t xml:space="preserve">Right to data portability: receive your data in a structured, machine-readable format</w:t>
      </w:r>
    </w:p>
    <w:p>
      <w:pPr>
        <w:pStyle w:val="ListParagraph"/>
        <w:numPr>
          <w:ilvl w:val="0"/>
          <w:numId w:val="2"/>
        </w:numPr>
        <w:spacing w:after="80"/>
      </w:pPr>
      <w:r>
        <w:rPr>
          <w:rFonts w:ascii="Arial" w:cs="Arial" w:eastAsia="Arial" w:hAnsi="Arial"/>
          <w:sz w:val="22"/>
          <w:szCs w:val="22"/>
        </w:rPr>
        <w:t xml:space="preserve">Right to object: object to processing based on legitimate interests</w:t>
      </w:r>
    </w:p>
    <w:p>
      <w:pPr>
        <w:pStyle w:val="ListParagraph"/>
        <w:numPr>
          <w:ilvl w:val="0"/>
          <w:numId w:val="2"/>
        </w:numPr>
        <w:spacing w:after="80"/>
      </w:pPr>
      <w:r>
        <w:rPr>
          <w:rFonts w:ascii="Arial" w:cs="Arial" w:eastAsia="Arial" w:hAnsi="Arial"/>
          <w:sz w:val="22"/>
          <w:szCs w:val="22"/>
        </w:rPr>
        <w:t xml:space="preserve">Right to withdraw consent: at any time for consent-based processing</w:t>
      </w:r>
    </w:p>
    <w:p>
      <w:pPr>
        <w:spacing w:after="160"/>
      </w:pPr>
      <w:r>
        <w:t xml:space="preserve">To exercise any GDPR right, contact us at aiman@hu.edu.jo. We will respond within 30 days.</w:t>
      </w:r>
    </w:p>
    <w:p>
      <w:r>
        <w:t xml:space="preserve"/>
      </w:r>
    </w:p>
    <w:p>
      <w:pPr>
        <w:pStyle w:val="Heading2"/>
      </w:pPr>
      <w:r>
        <w:t xml:space="preserve">7.2 HIPAA Rights (Health Information)</w:t>
      </w:r>
    </w:p>
    <w:p>
      <w:pPr>
        <w:pStyle w:val="ListParagraph"/>
        <w:numPr>
          <w:ilvl w:val="0"/>
          <w:numId w:val="2"/>
        </w:numPr>
        <w:spacing w:after="80"/>
      </w:pPr>
      <w:r>
        <w:rPr>
          <w:rFonts w:ascii="Arial" w:cs="Arial" w:eastAsia="Arial" w:hAnsi="Arial"/>
          <w:sz w:val="22"/>
          <w:szCs w:val="22"/>
        </w:rPr>
        <w:t xml:space="preserve">Right to access your Protected Health Information (PHI)</w:t>
      </w:r>
    </w:p>
    <w:p>
      <w:pPr>
        <w:pStyle w:val="ListParagraph"/>
        <w:numPr>
          <w:ilvl w:val="0"/>
          <w:numId w:val="2"/>
        </w:numPr>
        <w:spacing w:after="80"/>
      </w:pPr>
      <w:r>
        <w:rPr>
          <w:rFonts w:ascii="Arial" w:cs="Arial" w:eastAsia="Arial" w:hAnsi="Arial"/>
          <w:sz w:val="22"/>
          <w:szCs w:val="22"/>
        </w:rPr>
        <w:t xml:space="preserve">Right to request amendment of your PHI</w:t>
      </w:r>
    </w:p>
    <w:p>
      <w:pPr>
        <w:pStyle w:val="ListParagraph"/>
        <w:numPr>
          <w:ilvl w:val="0"/>
          <w:numId w:val="2"/>
        </w:numPr>
        <w:spacing w:after="80"/>
      </w:pPr>
      <w:r>
        <w:rPr>
          <w:rFonts w:ascii="Arial" w:cs="Arial" w:eastAsia="Arial" w:hAnsi="Arial"/>
          <w:sz w:val="22"/>
          <w:szCs w:val="22"/>
        </w:rPr>
        <w:t xml:space="preserve">Right to an accounting of disclosures of your PHI</w:t>
      </w:r>
    </w:p>
    <w:p>
      <w:pPr>
        <w:pStyle w:val="ListParagraph"/>
        <w:numPr>
          <w:ilvl w:val="0"/>
          <w:numId w:val="2"/>
        </w:numPr>
        <w:spacing w:after="80"/>
      </w:pPr>
      <w:r>
        <w:rPr>
          <w:rFonts w:ascii="Arial" w:cs="Arial" w:eastAsia="Arial" w:hAnsi="Arial"/>
          <w:sz w:val="22"/>
          <w:szCs w:val="22"/>
        </w:rPr>
        <w:t xml:space="preserve">Right to request restrictions on how your PHI is used or disclosed</w:t>
      </w:r>
    </w:p>
    <w:p>
      <w:pPr>
        <w:pStyle w:val="ListParagraph"/>
        <w:numPr>
          <w:ilvl w:val="0"/>
          <w:numId w:val="2"/>
        </w:numPr>
        <w:spacing w:after="80"/>
      </w:pPr>
      <w:r>
        <w:rPr>
          <w:rFonts w:ascii="Arial" w:cs="Arial" w:eastAsia="Arial" w:hAnsi="Arial"/>
          <w:sz w:val="22"/>
          <w:szCs w:val="22"/>
        </w:rPr>
        <w:t xml:space="preserve">Right to receive a copy of this Notice of Privacy Practices</w:t>
      </w:r>
    </w:p>
    <w:p>
      <w:pPr>
        <w:spacing w:after="160"/>
      </w:pPr>
      <w:r>
        <w:t xml:space="preserve">To exercise HIPAA rights, contact our Privacy Officer at aiman@hu.edu.jo.</w:t>
      </w:r>
    </w:p>
    <w:p>
      <w:r>
        <w:t xml:space="preserve"/>
      </w:r>
    </w:p>
    <w:p>
      <w:pPr>
        <w:pStyle w:val="Heading1"/>
      </w:pPr>
      <w:r>
        <w:t xml:space="preserve">8. International Data Transfers</w:t>
      </w:r>
    </w:p>
    <w:p>
      <w:pPr>
        <w:spacing w:after="160"/>
      </w:pPr>
      <w:r>
        <w:t xml:space="preserve">Qliniqit operates globally. Your information may be transferred to and processed in countries outside your country of residence, including Jordan, the United States, and countries within the European Economic Area.</w:t>
      </w:r>
    </w:p>
    <w:p>
      <w:pPr>
        <w:spacing w:after="160"/>
      </w:pPr>
      <w:r>
        <w:t xml:space="preserve">For transfers from the EEA/UK to third countries, we rely on: (a) Standard Contractual Clauses (SCCs) approved by the European Commission; (b) adequacy decisions where applicable; or (c) your explicit consent.</w:t>
      </w:r>
    </w:p>
    <w:p>
      <w:r>
        <w:t xml:space="preserve"/>
      </w:r>
    </w:p>
    <w:p>
      <w:pPr>
        <w:pStyle w:val="Heading1"/>
      </w:pPr>
      <w:r>
        <w:t xml:space="preserve">9. Cookies</w:t>
      </w:r>
    </w:p>
    <w:p>
      <w:pPr>
        <w:spacing w:after="160"/>
      </w:pPr>
      <w:r>
        <w:t xml:space="preserve">We use cookies and similar technologies to operate and improve the platform. For full details, please see our Cookie Policy. You can manage cookie preferences in your account settings or browser.</w:t>
      </w:r>
    </w:p>
    <w:p>
      <w:r>
        <w:t xml:space="preserve"/>
      </w:r>
    </w:p>
    <w:p>
      <w:pPr>
        <w:pStyle w:val="Heading1"/>
      </w:pPr>
      <w:r>
        <w:t xml:space="preserve">10. Security</w:t>
      </w:r>
    </w:p>
    <w:p>
      <w:pPr>
        <w:spacing w:after="160"/>
      </w:pPr>
      <w:r>
        <w:t xml:space="preserve">We implement industry-standard technical and organizational security measures, including:</w:t>
      </w:r>
    </w:p>
    <w:p>
      <w:pPr>
        <w:pStyle w:val="ListParagraph"/>
        <w:numPr>
          <w:ilvl w:val="0"/>
          <w:numId w:val="2"/>
        </w:numPr>
        <w:spacing w:after="80"/>
      </w:pPr>
      <w:r>
        <w:rPr>
          <w:rFonts w:ascii="Arial" w:cs="Arial" w:eastAsia="Arial" w:hAnsi="Arial"/>
          <w:sz w:val="22"/>
          <w:szCs w:val="22"/>
        </w:rPr>
        <w:t xml:space="preserve">Encryption in transit (TLS 1.2+) and at rest (AES-256)</w:t>
      </w:r>
    </w:p>
    <w:p>
      <w:pPr>
        <w:pStyle w:val="ListParagraph"/>
        <w:numPr>
          <w:ilvl w:val="0"/>
          <w:numId w:val="2"/>
        </w:numPr>
        <w:spacing w:after="80"/>
      </w:pPr>
      <w:r>
        <w:rPr>
          <w:rFonts w:ascii="Arial" w:cs="Arial" w:eastAsia="Arial" w:hAnsi="Arial"/>
          <w:sz w:val="22"/>
          <w:szCs w:val="22"/>
        </w:rPr>
        <w:t xml:space="preserve">Access controls and role-based permissions</w:t>
      </w:r>
    </w:p>
    <w:p>
      <w:pPr>
        <w:pStyle w:val="ListParagraph"/>
        <w:numPr>
          <w:ilvl w:val="0"/>
          <w:numId w:val="2"/>
        </w:numPr>
        <w:spacing w:after="80"/>
      </w:pPr>
      <w:r>
        <w:rPr>
          <w:rFonts w:ascii="Arial" w:cs="Arial" w:eastAsia="Arial" w:hAnsi="Arial"/>
          <w:sz w:val="22"/>
          <w:szCs w:val="22"/>
        </w:rPr>
        <w:t xml:space="preserve">Regular security assessments and penetration testing</w:t>
      </w:r>
    </w:p>
    <w:p>
      <w:pPr>
        <w:pStyle w:val="ListParagraph"/>
        <w:numPr>
          <w:ilvl w:val="0"/>
          <w:numId w:val="2"/>
        </w:numPr>
        <w:spacing w:after="80"/>
      </w:pPr>
      <w:r>
        <w:rPr>
          <w:rFonts w:ascii="Arial" w:cs="Arial" w:eastAsia="Arial" w:hAnsi="Arial"/>
          <w:sz w:val="22"/>
          <w:szCs w:val="22"/>
        </w:rPr>
        <w:t xml:space="preserve">HIPAA-compliant audit logging</w:t>
      </w:r>
    </w:p>
    <w:p>
      <w:pPr>
        <w:pStyle w:val="ListParagraph"/>
        <w:numPr>
          <w:ilvl w:val="0"/>
          <w:numId w:val="2"/>
        </w:numPr>
        <w:spacing w:after="80"/>
      </w:pPr>
      <w:r>
        <w:rPr>
          <w:rFonts w:ascii="Arial" w:cs="Arial" w:eastAsia="Arial" w:hAnsi="Arial"/>
          <w:sz w:val="22"/>
          <w:szCs w:val="22"/>
        </w:rPr>
        <w:t xml:space="preserve">Employee training on data privacy and security</w:t>
      </w:r>
    </w:p>
    <w:p>
      <w:pPr>
        <w:spacing w:after="160"/>
      </w:pPr>
      <w:r>
        <w:t xml:space="preserve">In the event of a data breach affecting your rights and freedoms, we will notify you and applicable regulatory authorities within 72 hours of discovery, as required by GDPR.</w:t>
      </w:r>
    </w:p>
    <w:p>
      <w:r>
        <w:t xml:space="preserve"/>
      </w:r>
    </w:p>
    <w:p>
      <w:pPr>
        <w:pStyle w:val="Heading1"/>
      </w:pPr>
      <w:r>
        <w:t xml:space="preserve">11. Children</w:t>
      </w:r>
    </w:p>
    <w:p>
      <w:pPr>
        <w:spacing w:after="160"/>
      </w:pPr>
      <w:r>
        <w:t xml:space="preserve">Qliniqit is not directed at children under 18. We do not knowingly collect personal information from minors. If you believe a minor has provided us with personal information, contact us immediately at aiman@hu.edu.jo.</w:t>
      </w:r>
    </w:p>
    <w:p>
      <w:r>
        <w:t xml:space="preserve"/>
      </w:r>
    </w:p>
    <w:p>
      <w:pPr>
        <w:pStyle w:val="Heading1"/>
      </w:pPr>
      <w:r>
        <w:t xml:space="preserve">12. Changes to This Policy</w:t>
      </w:r>
    </w:p>
    <w:p>
      <w:pPr>
        <w:spacing w:after="160"/>
      </w:pPr>
      <w:r>
        <w:t xml:space="preserve">We may update this Privacy Policy periodically. We will notify you of material changes via email or a prominent notice on the platform at least 30 days before the changes take effect. Continued use of Qliniqit after the effective date constitutes acceptance of the updated Policy.</w:t>
      </w:r>
    </w:p>
    <w:p>
      <w:r>
        <w:t xml:space="preserve"/>
      </w:r>
    </w:p>
    <w:p>
      <w:pPr>
        <w:pStyle w:val="Heading1"/>
      </w:pPr>
      <w:r>
        <w:t xml:space="preserve">13. Contact Us</w:t>
      </w:r>
    </w:p>
    <w:p>
      <w:pPr>
        <w:spacing w:after="160"/>
      </w:pPr>
      <w:r>
        <w:t xml:space="preserve">Data Controller: Qliniqit</w:t>
      </w:r>
    </w:p>
    <w:p>
      <w:pPr>
        <w:spacing w:after="160"/>
      </w:pPr>
      <w:r>
        <w:t xml:space="preserve">Privacy Officer Email: aiman@hu.edu.jo</w:t>
      </w:r>
    </w:p>
    <w:p>
      <w:pPr>
        <w:spacing w:after="160"/>
      </w:pPr>
      <w:r>
        <w:t xml:space="preserve">Website: www.qliniqit.com</w:t>
      </w:r>
    </w:p>
    <w:p>
      <w:pPr>
        <w:spacing w:after="160"/>
      </w:pPr>
      <w:r>
        <w:t xml:space="preserve">For GDPR inquiries, you also have the right to lodge a complaint with your local data protection authority.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www.qliniqit.com  |  aiman@hu.edu.jo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pBdr>
      <w:spacing w:after="120"/>
    </w:pPr>
    <w:r>
      <w:rPr>
        <w:rFonts w:ascii="Arial" w:cs="Arial" w:eastAsia="Arial" w:hAnsi="Arial"/>
        <w:b/>
        <w:bCs/>
        <w:color w:val="1A56C4"/>
        <w:sz w:val="20"/>
        <w:szCs w:val="20"/>
      </w:rPr>
      <w:t xml:space="preserve">QLINIQIT  |  </w:t>
    </w:r>
    <w:r>
      <w:rPr>
        <w:rFonts w:ascii="Arial" w:cs="Arial" w:eastAsia="Arial" w:hAnsi="Arial"/>
        <w:color w:val="64748B"/>
        <w:sz w:val="20"/>
        <w:szCs w:val="20"/>
      </w:rPr>
      <w:t xml:space="preserve">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2026-06-19T01:12:08.419Z</dcterms:created>
  <dcterms:modified xsi:type="dcterms:W3CDTF">2026-06-19T01:12:08.420Z</dcterms:modified>
</cp:coreProperties>
</file>

<file path=docProps/custom.xml><?xml version="1.0" encoding="utf-8"?>
<Properties xmlns="http://schemas.openxmlformats.org/officeDocument/2006/custom-properties" xmlns:vt="http://schemas.openxmlformats.org/officeDocument/2006/docPropsVTypes"/>
</file>