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56C4"/>
          <w:sz w:val="52"/>
          <w:szCs w:val="52"/>
        </w:rPr>
        <w:t xml:space="preserve">QLINIQIT</w:t>
      </w:r>
    </w:p>
    <w:p>
      <w:pPr>
        <w:pBdr>
          <w:bottom w:val="single" w:color="1A56C4" w:sz="6"/>
        </w:pBdr>
        <w:spacing w:after="80"/>
        <w:jc w:val="center"/>
      </w:pPr>
      <w:r>
        <w:rPr>
          <w:rFonts w:ascii="Arial" w:cs="Arial" w:eastAsia="Arial" w:hAnsi="Arial"/>
          <w:b/>
          <w:bCs/>
          <w:color w:val="1E293B"/>
          <w:sz w:val="36"/>
          <w:szCs w:val="36"/>
        </w:rPr>
        <w:t xml:space="preserve">Healthcare Provider Agreement</w:t>
      </w:r>
    </w:p>
    <w:p>
      <w:pPr>
        <w:spacing w:after="80" w:before="160"/>
        <w:jc w:val="center"/>
      </w:pPr>
      <w:r>
        <w:rPr>
          <w:rFonts w:ascii="Arial" w:cs="Arial" w:eastAsia="Arial" w:hAnsi="Arial"/>
          <w:i/>
          <w:iCs/>
          <w:color w:val="64748B"/>
          <w:sz w:val="22"/>
          <w:szCs w:val="22"/>
        </w:rPr>
        <w:t xml:space="preserve">Terms for Registered Healthcare Providers</w:t>
      </w:r>
    </w:p>
    <w:p>
      <w:pPr>
        <w:spacing w:after="480"/>
        <w:jc w:val="center"/>
      </w:pPr>
      <w:r>
        <w:rPr>
          <w:rFonts w:ascii="Arial" w:cs="Arial" w:eastAsia="Arial" w:hAnsi="Arial"/>
          <w:color w:val="64748B"/>
          <w:sz w:val="20"/>
          <w:szCs w:val="20"/>
        </w:rPr>
        <w:t xml:space="preserve">Effective Date: June 19, 2026</w:t>
      </w:r>
    </w:p>
    <w:p>
      <w:pPr>
        <w:pStyle w:val="Heading1"/>
      </w:pPr>
      <w:r>
        <w:t xml:space="preserve">1. Introduction</w:t>
      </w:r>
    </w:p>
    <w:p>
      <w:pPr>
        <w:spacing w:after="160"/>
      </w:pPr>
      <w:r>
        <w:t xml:space="preserve">This Healthcare Provider Agreement ("Agreement") governs the relationship between Qliniqit ("Platform") and you, the registered healthcare provider ("Provider"). By completing Provider registration, you accept and agree to this Agreement in addition to the Qliniqit Terms of Service.</w:t>
      </w:r>
    </w:p>
    <w:p>
      <w:r>
        <w:t xml:space="preserve"/>
      </w:r>
    </w:p>
    <w:p>
      <w:pPr>
        <w:pStyle w:val="Heading1"/>
      </w:pPr>
      <w:r>
        <w:t xml:space="preserve">2. Eligibility and Verification Requirements</w:t>
      </w:r>
    </w:p>
    <w:p>
      <w:pPr>
        <w:spacing w:after="160"/>
      </w:pPr>
      <w:r>
        <w:t xml:space="preserve">To register as a Provider, you must:</w:t>
      </w:r>
    </w:p>
    <w:p>
      <w:pPr>
        <w:pStyle w:val="ListParagraph"/>
        <w:numPr>
          <w:ilvl w:val="0"/>
          <w:numId w:val="2"/>
        </w:numPr>
        <w:spacing w:after="80"/>
      </w:pPr>
      <w:r>
        <w:rPr>
          <w:rFonts w:ascii="Arial" w:cs="Arial" w:eastAsia="Arial" w:hAnsi="Arial"/>
          <w:sz w:val="22"/>
          <w:szCs w:val="22"/>
        </w:rPr>
        <w:t xml:space="preserve">Hold a valid, current healthcare license in your jurisdiction of practice</w:t>
      </w:r>
    </w:p>
    <w:p>
      <w:pPr>
        <w:pStyle w:val="ListParagraph"/>
        <w:numPr>
          <w:ilvl w:val="0"/>
          <w:numId w:val="2"/>
        </w:numPr>
        <w:spacing w:after="80"/>
      </w:pPr>
      <w:r>
        <w:rPr>
          <w:rFonts w:ascii="Arial" w:cs="Arial" w:eastAsia="Arial" w:hAnsi="Arial"/>
          <w:sz w:val="22"/>
          <w:szCs w:val="22"/>
        </w:rPr>
        <w:t xml:space="preserve">Submit accurate credential documentation, including license number, issuing authority, and expiry date</w:t>
      </w:r>
    </w:p>
    <w:p>
      <w:pPr>
        <w:pStyle w:val="ListParagraph"/>
        <w:numPr>
          <w:ilvl w:val="0"/>
          <w:numId w:val="2"/>
        </w:numPr>
        <w:spacing w:after="80"/>
      </w:pPr>
      <w:r>
        <w:rPr>
          <w:rFonts w:ascii="Arial" w:cs="Arial" w:eastAsia="Arial" w:hAnsi="Arial"/>
          <w:sz w:val="22"/>
          <w:szCs w:val="22"/>
        </w:rPr>
        <w:t xml:space="preserve">Provide proof of professional indemnity / malpractice insurance where required by your jurisdiction</w:t>
      </w:r>
    </w:p>
    <w:p>
      <w:pPr>
        <w:pStyle w:val="ListParagraph"/>
        <w:numPr>
          <w:ilvl w:val="0"/>
          <w:numId w:val="2"/>
        </w:numPr>
        <w:spacing w:after="80"/>
      </w:pPr>
      <w:r>
        <w:rPr>
          <w:rFonts w:ascii="Arial" w:cs="Arial" w:eastAsia="Arial" w:hAnsi="Arial"/>
          <w:sz w:val="22"/>
          <w:szCs w:val="22"/>
        </w:rPr>
        <w:t xml:space="preserve">Pass Qliniqit's credential verification process, which may include third-party checks with relevant licensing bodies</w:t>
      </w:r>
    </w:p>
    <w:p>
      <w:pPr>
        <w:pStyle w:val="ListParagraph"/>
        <w:numPr>
          <w:ilvl w:val="0"/>
          <w:numId w:val="2"/>
        </w:numPr>
        <w:spacing w:after="80"/>
      </w:pPr>
      <w:r>
        <w:rPr>
          <w:rFonts w:ascii="Arial" w:cs="Arial" w:eastAsia="Arial" w:hAnsi="Arial"/>
          <w:sz w:val="22"/>
          <w:szCs w:val="22"/>
        </w:rPr>
        <w:t xml:space="preserve">Maintain all required licenses and credentials in good standing for the duration of your registration</w:t>
      </w:r>
    </w:p>
    <w:p>
      <w:pPr>
        <w:spacing w:after="160"/>
      </w:pPr>
      <w:r>
        <w:t xml:space="preserve">IMPORTANT: By completing registration, you declare under penalty of permanent account suspension that all submitted qualifications are true, valid, and current, and that you consent to verification checks by Qliniqit or the relevant authorization body.</w:t>
      </w:r>
    </w:p>
    <w:p>
      <w:r>
        <w:t xml:space="preserve"/>
      </w:r>
    </w:p>
    <w:p>
      <w:pPr>
        <w:pStyle w:val="Heading1"/>
      </w:pPr>
      <w:r>
        <w:t xml:space="preserve">3. Provider Obligations</w:t>
      </w:r>
    </w:p>
    <w:p>
      <w:pPr>
        <w:pStyle w:val="Heading2"/>
      </w:pPr>
      <w:r>
        <w:t xml:space="preserve">3.1 Professional Conduct</w:t>
      </w:r>
    </w:p>
    <w:p>
      <w:pPr>
        <w:pStyle w:val="ListParagraph"/>
        <w:numPr>
          <w:ilvl w:val="0"/>
          <w:numId w:val="3"/>
        </w:numPr>
        <w:spacing w:after="80"/>
      </w:pPr>
      <w:r>
        <w:rPr>
          <w:rFonts w:ascii="Arial" w:cs="Arial" w:eastAsia="Arial" w:hAnsi="Arial"/>
          <w:sz w:val="22"/>
          <w:szCs w:val="22"/>
        </w:rPr>
        <w:t xml:space="preserve">Provide services that meet the professional standards of your specialty and jurisdiction</w:t>
      </w:r>
    </w:p>
    <w:p>
      <w:pPr>
        <w:pStyle w:val="ListParagraph"/>
        <w:numPr>
          <w:ilvl w:val="0"/>
          <w:numId w:val="3"/>
        </w:numPr>
        <w:spacing w:after="80"/>
      </w:pPr>
      <w:r>
        <w:rPr>
          <w:rFonts w:ascii="Arial" w:cs="Arial" w:eastAsia="Arial" w:hAnsi="Arial"/>
          <w:sz w:val="22"/>
          <w:szCs w:val="22"/>
        </w:rPr>
        <w:t xml:space="preserve">Maintain patient confidentiality in accordance with applicable laws</w:t>
      </w:r>
    </w:p>
    <w:p>
      <w:pPr>
        <w:pStyle w:val="ListParagraph"/>
        <w:numPr>
          <w:ilvl w:val="0"/>
          <w:numId w:val="3"/>
        </w:numPr>
        <w:spacing w:after="80"/>
      </w:pPr>
      <w:r>
        <w:rPr>
          <w:rFonts w:ascii="Arial" w:cs="Arial" w:eastAsia="Arial" w:hAnsi="Arial"/>
          <w:sz w:val="22"/>
          <w:szCs w:val="22"/>
        </w:rPr>
        <w:t xml:space="preserve">Respond to booking requests and messages within a reasonable time</w:t>
      </w:r>
    </w:p>
    <w:p>
      <w:pPr>
        <w:pStyle w:val="ListParagraph"/>
        <w:numPr>
          <w:ilvl w:val="0"/>
          <w:numId w:val="3"/>
        </w:numPr>
        <w:spacing w:after="80"/>
      </w:pPr>
      <w:r>
        <w:rPr>
          <w:rFonts w:ascii="Arial" w:cs="Arial" w:eastAsia="Arial" w:hAnsi="Arial"/>
          <w:sz w:val="22"/>
          <w:szCs w:val="22"/>
        </w:rPr>
        <w:t xml:space="preserve">Keep your availability calendar accurate and up to date</w:t>
      </w:r>
    </w:p>
    <w:p>
      <w:pPr>
        <w:pStyle w:val="ListParagraph"/>
        <w:numPr>
          <w:ilvl w:val="0"/>
          <w:numId w:val="3"/>
        </w:numPr>
        <w:spacing w:after="80"/>
      </w:pPr>
      <w:r>
        <w:rPr>
          <w:rFonts w:ascii="Arial" w:cs="Arial" w:eastAsia="Arial" w:hAnsi="Arial"/>
          <w:sz w:val="22"/>
          <w:szCs w:val="22"/>
        </w:rPr>
        <w:t xml:space="preserve">Notify Qliniqit promptly of any disciplinary action, license suspension, or criminal charges</w:t>
      </w:r>
    </w:p>
    <w:p>
      <w:r>
        <w:t xml:space="preserve"/>
      </w:r>
    </w:p>
    <w:p>
      <w:pPr>
        <w:pStyle w:val="Heading2"/>
      </w:pPr>
      <w:r>
        <w:t xml:space="preserve">3.2 Telemedicine Standards</w:t>
      </w:r>
    </w:p>
    <w:p>
      <w:pPr>
        <w:pStyle w:val="ListParagraph"/>
        <w:numPr>
          <w:ilvl w:val="0"/>
          <w:numId w:val="3"/>
        </w:numPr>
        <w:spacing w:after="80"/>
      </w:pPr>
      <w:r>
        <w:rPr>
          <w:rFonts w:ascii="Arial" w:cs="Arial" w:eastAsia="Arial" w:hAnsi="Arial"/>
          <w:sz w:val="22"/>
          <w:szCs w:val="22"/>
        </w:rPr>
        <w:t xml:space="preserve">Only conduct telemedicine for conditions appropriate for remote care</w:t>
      </w:r>
    </w:p>
    <w:p>
      <w:pPr>
        <w:pStyle w:val="ListParagraph"/>
        <w:numPr>
          <w:ilvl w:val="0"/>
          <w:numId w:val="3"/>
        </w:numPr>
        <w:spacing w:after="80"/>
      </w:pPr>
      <w:r>
        <w:rPr>
          <w:rFonts w:ascii="Arial" w:cs="Arial" w:eastAsia="Arial" w:hAnsi="Arial"/>
          <w:sz w:val="22"/>
          <w:szCs w:val="22"/>
        </w:rPr>
        <w:t xml:space="preserve">Inform members when in-person evaluation is required</w:t>
      </w:r>
    </w:p>
    <w:p>
      <w:pPr>
        <w:pStyle w:val="ListParagraph"/>
        <w:numPr>
          <w:ilvl w:val="0"/>
          <w:numId w:val="3"/>
        </w:numPr>
        <w:spacing w:after="80"/>
      </w:pPr>
      <w:r>
        <w:rPr>
          <w:rFonts w:ascii="Arial" w:cs="Arial" w:eastAsia="Arial" w:hAnsi="Arial"/>
          <w:sz w:val="22"/>
          <w:szCs w:val="22"/>
        </w:rPr>
        <w:t xml:space="preserve">Maintain adequate technology (camera, microphone, secure connection) for video consultations</w:t>
      </w:r>
    </w:p>
    <w:p>
      <w:pPr>
        <w:pStyle w:val="ListParagraph"/>
        <w:numPr>
          <w:ilvl w:val="0"/>
          <w:numId w:val="3"/>
        </w:numPr>
        <w:spacing w:after="80"/>
      </w:pPr>
      <w:r>
        <w:rPr>
          <w:rFonts w:ascii="Arial" w:cs="Arial" w:eastAsia="Arial" w:hAnsi="Arial"/>
          <w:sz w:val="22"/>
          <w:szCs w:val="22"/>
        </w:rPr>
        <w:t xml:space="preserve">Document consultations in accordance with your professional obligations</w:t>
      </w:r>
    </w:p>
    <w:p>
      <w:pPr>
        <w:pStyle w:val="ListParagraph"/>
        <w:numPr>
          <w:ilvl w:val="0"/>
          <w:numId w:val="3"/>
        </w:numPr>
        <w:spacing w:after="80"/>
      </w:pPr>
      <w:r>
        <w:rPr>
          <w:rFonts w:ascii="Arial" w:cs="Arial" w:eastAsia="Arial" w:hAnsi="Arial"/>
          <w:sz w:val="22"/>
          <w:szCs w:val="22"/>
        </w:rPr>
        <w:t xml:space="preserve">Not prescribe controlled substances via telemedicine unless expressly permitted by applicable law</w:t>
      </w:r>
    </w:p>
    <w:p>
      <w:r>
        <w:t xml:space="preserve"/>
      </w:r>
    </w:p>
    <w:p>
      <w:pPr>
        <w:pStyle w:val="Heading2"/>
      </w:pPr>
      <w:r>
        <w:t xml:space="preserve">3.3 Prescription Rules</w:t>
      </w:r>
    </w:p>
    <w:p>
      <w:pPr>
        <w:pStyle w:val="ListParagraph"/>
        <w:numPr>
          <w:ilvl w:val="0"/>
          <w:numId w:val="3"/>
        </w:numPr>
        <w:spacing w:after="80"/>
      </w:pPr>
      <w:r>
        <w:rPr>
          <w:rFonts w:ascii="Arial" w:cs="Arial" w:eastAsia="Arial" w:hAnsi="Arial"/>
          <w:sz w:val="22"/>
          <w:szCs w:val="22"/>
        </w:rPr>
        <w:t xml:space="preserve">Electronic prescriptions must comply with applicable national and local laws</w:t>
      </w:r>
    </w:p>
    <w:p>
      <w:pPr>
        <w:pStyle w:val="ListParagraph"/>
        <w:numPr>
          <w:ilvl w:val="0"/>
          <w:numId w:val="3"/>
        </w:numPr>
        <w:spacing w:after="80"/>
      </w:pPr>
      <w:r>
        <w:rPr>
          <w:rFonts w:ascii="Arial" w:cs="Arial" w:eastAsia="Arial" w:hAnsi="Arial"/>
          <w:sz w:val="22"/>
          <w:szCs w:val="22"/>
        </w:rPr>
        <w:t xml:space="preserve">Providers are solely responsible for the appropriateness of any prescription issued</w:t>
      </w:r>
    </w:p>
    <w:p>
      <w:pPr>
        <w:pStyle w:val="ListParagraph"/>
        <w:numPr>
          <w:ilvl w:val="0"/>
          <w:numId w:val="3"/>
        </w:numPr>
        <w:spacing w:after="80"/>
      </w:pPr>
      <w:r>
        <w:rPr>
          <w:rFonts w:ascii="Arial" w:cs="Arial" w:eastAsia="Arial" w:hAnsi="Arial"/>
          <w:sz w:val="22"/>
          <w:szCs w:val="22"/>
        </w:rPr>
        <w:t xml:space="preserve">Qliniqit does not facilitate or take responsibility for prescription fulfillment</w:t>
      </w:r>
    </w:p>
    <w:p>
      <w:r>
        <w:t xml:space="preserve"/>
      </w:r>
    </w:p>
    <w:p>
      <w:pPr>
        <w:pStyle w:val="Heading1"/>
      </w:pPr>
      <w:r>
        <w:t xml:space="preserve">4. Data Handling Obligations</w:t>
      </w:r>
    </w:p>
    <w:p>
      <w:pPr>
        <w:spacing w:after="160"/>
      </w:pPr>
      <w:r>
        <w:t xml:space="preserve">As a healthcare provider accessing member health information through the Platform, you agree to:</w:t>
      </w:r>
    </w:p>
    <w:p>
      <w:pPr>
        <w:pStyle w:val="ListParagraph"/>
        <w:numPr>
          <w:ilvl w:val="0"/>
          <w:numId w:val="3"/>
        </w:numPr>
        <w:spacing w:after="80"/>
      </w:pPr>
      <w:r>
        <w:rPr>
          <w:rFonts w:ascii="Arial" w:cs="Arial" w:eastAsia="Arial" w:hAnsi="Arial"/>
          <w:sz w:val="22"/>
          <w:szCs w:val="22"/>
        </w:rPr>
        <w:t xml:space="preserve">Treat all member health information as Protected Health Information (PHI)</w:t>
      </w:r>
    </w:p>
    <w:p>
      <w:pPr>
        <w:pStyle w:val="ListParagraph"/>
        <w:numPr>
          <w:ilvl w:val="0"/>
          <w:numId w:val="3"/>
        </w:numPr>
        <w:spacing w:after="80"/>
      </w:pPr>
      <w:r>
        <w:rPr>
          <w:rFonts w:ascii="Arial" w:cs="Arial" w:eastAsia="Arial" w:hAnsi="Arial"/>
          <w:sz w:val="22"/>
          <w:szCs w:val="22"/>
        </w:rPr>
        <w:t xml:space="preserve">Use member data only for the purpose of delivering the booked service</w:t>
      </w:r>
    </w:p>
    <w:p>
      <w:pPr>
        <w:pStyle w:val="ListParagraph"/>
        <w:numPr>
          <w:ilvl w:val="0"/>
          <w:numId w:val="3"/>
        </w:numPr>
        <w:spacing w:after="80"/>
      </w:pPr>
      <w:r>
        <w:rPr>
          <w:rFonts w:ascii="Arial" w:cs="Arial" w:eastAsia="Arial" w:hAnsi="Arial"/>
          <w:sz w:val="22"/>
          <w:szCs w:val="22"/>
        </w:rPr>
        <w:t xml:space="preserve">Not copy, retain, or share member PHI outside the Platform except as required for continuity of care</w:t>
      </w:r>
    </w:p>
    <w:p>
      <w:pPr>
        <w:pStyle w:val="ListParagraph"/>
        <w:numPr>
          <w:ilvl w:val="0"/>
          <w:numId w:val="3"/>
        </w:numPr>
        <w:spacing w:after="80"/>
      </w:pPr>
      <w:r>
        <w:rPr>
          <w:rFonts w:ascii="Arial" w:cs="Arial" w:eastAsia="Arial" w:hAnsi="Arial"/>
          <w:sz w:val="22"/>
          <w:szCs w:val="22"/>
        </w:rPr>
        <w:t xml:space="preserve">Immediately notify Qliniqit of any suspected or actual data breach involving member information</w:t>
      </w:r>
    </w:p>
    <w:p>
      <w:pPr>
        <w:pStyle w:val="ListParagraph"/>
        <w:numPr>
          <w:ilvl w:val="0"/>
          <w:numId w:val="3"/>
        </w:numPr>
        <w:spacing w:after="80"/>
      </w:pPr>
      <w:r>
        <w:rPr>
          <w:rFonts w:ascii="Arial" w:cs="Arial" w:eastAsia="Arial" w:hAnsi="Arial"/>
          <w:sz w:val="22"/>
          <w:szCs w:val="22"/>
        </w:rPr>
        <w:t xml:space="preserve">Comply with all applicable data protection laws, including HIPAA and GDPR where relevant</w:t>
      </w:r>
    </w:p>
    <w:p>
      <w:r>
        <w:t xml:space="preserve"/>
      </w:r>
    </w:p>
    <w:p>
      <w:pPr>
        <w:pStyle w:val="Heading1"/>
      </w:pPr>
      <w:r>
        <w:t xml:space="preserve">5. Fees and Revenue Share</w:t>
      </w:r>
    </w:p>
    <w:p>
      <w:pPr>
        <w:pStyle w:val="Heading2"/>
      </w:pPr>
      <w:r>
        <w:t xml:space="preserve">5.1 Platform Service Fee</w:t>
      </w:r>
    </w:p>
    <w:p>
      <w:pPr>
        <w:spacing w:after="160"/>
      </w:pPr>
      <w:r>
        <w:t xml:space="preserve">Qliniqit charges a service fee on each completed booking. The applicable fee rate is disclosed in your Provider dashboard and may be updated with 30 days' notice.</w:t>
      </w:r>
    </w:p>
    <w:p>
      <w:pPr>
        <w:pStyle w:val="Heading2"/>
      </w:pPr>
      <w:r>
        <w:t xml:space="preserve">5.2 Payment Schedule</w:t>
      </w:r>
    </w:p>
    <w:p>
      <w:pPr>
        <w:spacing w:after="160"/>
      </w:pPr>
      <w:r>
        <w:t xml:space="preserve">Earnings (net of Qliniqit's service fee) are transferred to your registered payment account within 7 business days of consultation completion, subject to any holds for disputes.</w:t>
      </w:r>
    </w:p>
    <w:p>
      <w:pPr>
        <w:pStyle w:val="Heading2"/>
      </w:pPr>
      <w:r>
        <w:t xml:space="preserve">5.3 Disputes and Chargebacks</w:t>
      </w:r>
    </w:p>
    <w:p>
      <w:pPr>
        <w:spacing w:after="160"/>
      </w:pPr>
      <w:r>
        <w:t xml:space="preserve">Qliniqit reserves the right to withhold payment pending resolution of member disputes or chargebacks. Providers are liable for refunds resulting from their failure to attend, gross misconduct, or material misrepresentation.</w:t>
      </w:r>
    </w:p>
    <w:p>
      <w:r>
        <w:t xml:space="preserve"/>
      </w:r>
    </w:p>
    <w:p>
      <w:pPr>
        <w:pStyle w:val="Heading1"/>
      </w:pPr>
      <w:r>
        <w:t xml:space="preserve">6. Termination</w:t>
      </w:r>
    </w:p>
    <w:p>
      <w:pPr>
        <w:pStyle w:val="Heading2"/>
      </w:pPr>
      <w:r>
        <w:t xml:space="preserve">6.1 Termination by Provider</w:t>
      </w:r>
    </w:p>
    <w:p>
      <w:pPr>
        <w:spacing w:after="160"/>
      </w:pPr>
      <w:r>
        <w:t xml:space="preserve">You may terminate this Agreement by providing 30 days' written notice to aiman@hu.edu.jo. You remain responsible for completing all booked consultations or arranging appropriate referrals.</w:t>
      </w:r>
    </w:p>
    <w:p>
      <w:pPr>
        <w:pStyle w:val="Heading2"/>
      </w:pPr>
      <w:r>
        <w:t xml:space="preserve">6.2 Termination for Cause</w:t>
      </w:r>
    </w:p>
    <w:p>
      <w:pPr>
        <w:spacing w:after="160"/>
      </w:pPr>
      <w:r>
        <w:t xml:space="preserve">Qliniqit may terminate this Agreement immediately and permanently ban your account if you:</w:t>
      </w:r>
    </w:p>
    <w:p>
      <w:pPr>
        <w:pStyle w:val="ListParagraph"/>
        <w:numPr>
          <w:ilvl w:val="0"/>
          <w:numId w:val="3"/>
        </w:numPr>
        <w:spacing w:after="80"/>
      </w:pPr>
      <w:r>
        <w:rPr>
          <w:rFonts w:ascii="Arial" w:cs="Arial" w:eastAsia="Arial" w:hAnsi="Arial"/>
          <w:sz w:val="22"/>
          <w:szCs w:val="22"/>
        </w:rPr>
        <w:t xml:space="preserve">Provide false, forged, or misrepresented credentials</w:t>
      </w:r>
    </w:p>
    <w:p>
      <w:pPr>
        <w:pStyle w:val="ListParagraph"/>
        <w:numPr>
          <w:ilvl w:val="0"/>
          <w:numId w:val="3"/>
        </w:numPr>
        <w:spacing w:after="80"/>
      </w:pPr>
      <w:r>
        <w:rPr>
          <w:rFonts w:ascii="Arial" w:cs="Arial" w:eastAsia="Arial" w:hAnsi="Arial"/>
          <w:sz w:val="22"/>
          <w:szCs w:val="22"/>
        </w:rPr>
        <w:t xml:space="preserve">Engage in sexual misconduct, abuse, or harassment</w:t>
      </w:r>
    </w:p>
    <w:p>
      <w:pPr>
        <w:pStyle w:val="ListParagraph"/>
        <w:numPr>
          <w:ilvl w:val="0"/>
          <w:numId w:val="3"/>
        </w:numPr>
        <w:spacing w:after="80"/>
      </w:pPr>
      <w:r>
        <w:rPr>
          <w:rFonts w:ascii="Arial" w:cs="Arial" w:eastAsia="Arial" w:hAnsi="Arial"/>
          <w:sz w:val="22"/>
          <w:szCs w:val="22"/>
        </w:rPr>
        <w:t xml:space="preserve">Are subject to license suspension or revocation</w:t>
      </w:r>
    </w:p>
    <w:p>
      <w:pPr>
        <w:pStyle w:val="ListParagraph"/>
        <w:numPr>
          <w:ilvl w:val="0"/>
          <w:numId w:val="3"/>
        </w:numPr>
        <w:spacing w:after="80"/>
      </w:pPr>
      <w:r>
        <w:rPr>
          <w:rFonts w:ascii="Arial" w:cs="Arial" w:eastAsia="Arial" w:hAnsi="Arial"/>
          <w:sz w:val="22"/>
          <w:szCs w:val="22"/>
        </w:rPr>
        <w:t xml:space="preserve">Cause demonstrable harm to a member</w:t>
      </w:r>
    </w:p>
    <w:p>
      <w:pPr>
        <w:pStyle w:val="ListParagraph"/>
        <w:numPr>
          <w:ilvl w:val="0"/>
          <w:numId w:val="3"/>
        </w:numPr>
        <w:spacing w:after="80"/>
      </w:pPr>
      <w:r>
        <w:rPr>
          <w:rFonts w:ascii="Arial" w:cs="Arial" w:eastAsia="Arial" w:hAnsi="Arial"/>
          <w:sz w:val="22"/>
          <w:szCs w:val="22"/>
        </w:rPr>
        <w:t xml:space="preserve">Violate data protection or confidentiality obligations</w:t>
      </w:r>
    </w:p>
    <w:p>
      <w:pPr>
        <w:pStyle w:val="ListParagraph"/>
        <w:numPr>
          <w:ilvl w:val="0"/>
          <w:numId w:val="3"/>
        </w:numPr>
        <w:spacing w:after="80"/>
      </w:pPr>
      <w:r>
        <w:rPr>
          <w:rFonts w:ascii="Arial" w:cs="Arial" w:eastAsia="Arial" w:hAnsi="Arial"/>
          <w:sz w:val="22"/>
          <w:szCs w:val="22"/>
        </w:rPr>
        <w:t xml:space="preserve">Engage in fraudulent billing or payment manipulation</w:t>
      </w:r>
    </w:p>
    <w:p>
      <w:r>
        <w:t xml:space="preserve"/>
      </w:r>
    </w:p>
    <w:p>
      <w:pPr>
        <w:pStyle w:val="Heading1"/>
      </w:pPr>
      <w:r>
        <w:t xml:space="preserve">7. Indemnification</w:t>
      </w:r>
    </w:p>
    <w:p>
      <w:pPr>
        <w:spacing w:after="160"/>
      </w:pPr>
      <w:r>
        <w:t xml:space="preserve">Provider agrees to indemnify, defend, and hold harmless Qliniqit, its officers, directors, employees, and agents from any claims, liabilities, damages, and expenses (including legal fees) arising from: (a) your provision of healthcare services; (b) your violation of this Agreement; (c) your violation of applicable law; or (d) any malpractice, negligence, or misconduct in your professional services.</w:t>
      </w:r>
    </w:p>
    <w:p>
      <w:r>
        <w:t xml:space="preserve"/>
      </w:r>
    </w:p>
    <w:p>
      <w:pPr>
        <w:pStyle w:val="Heading1"/>
      </w:pPr>
      <w:r>
        <w:t xml:space="preserve">8. Governing Law</w:t>
      </w:r>
    </w:p>
    <w:p>
      <w:pPr>
        <w:spacing w:after="160"/>
      </w:pPr>
      <w:r>
        <w:t xml:space="preserve">This Agreement is governed by the laws of the Hashemite Kingdom of Jordan. Disputes shall be resolved in accordance with the dispute resolution provisions in the Terms of Service.</w:t>
      </w:r>
    </w:p>
    <w:p>
      <w:r>
        <w:t xml:space="preserve"/>
      </w:r>
    </w:p>
    <w:p>
      <w:pPr>
        <w:pStyle w:val="Heading1"/>
      </w:pPr>
      <w:r>
        <w:t xml:space="preserve">9. Contact</w:t>
      </w:r>
    </w:p>
    <w:p>
      <w:pPr>
        <w:spacing w:after="160"/>
      </w:pPr>
      <w:r>
        <w:t xml:space="preserve">For queries regarding this Agreement, contact: aiman@hu.edu.jo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120"/>
      <w:jc w:val="center"/>
    </w:pPr>
    <w:r>
      <w:rPr>
        <w:rFonts w:ascii="Arial" w:cs="Arial" w:eastAsia="Arial" w:hAnsi="Arial"/>
        <w:color w:val="64748B"/>
        <w:sz w:val="18"/>
        <w:szCs w:val="18"/>
      </w:rPr>
      <w:t xml:space="preserve">www.qliniqit.com  |  aiman@hu.edu.jo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C4" w:sz="4"/>
      </w:pBdr>
      <w:spacing w:after="120"/>
    </w:pPr>
    <w:r>
      <w:rPr>
        <w:rFonts w:ascii="Arial" w:cs="Arial" w:eastAsia="Arial" w:hAnsi="Arial"/>
        <w:b/>
        <w:bCs/>
        <w:color w:val="1A56C4"/>
        <w:sz w:val="20"/>
        <w:szCs w:val="20"/>
      </w:rPr>
      <w:t xml:space="preserve">QLINIQIT  |  </w:t>
    </w:r>
    <w:r>
      <w:rPr>
        <w:rFonts w:ascii="Arial" w:cs="Arial" w:eastAsia="Arial" w:hAnsi="Arial"/>
        <w:color w:val="64748B"/>
        <w:sz w:val="20"/>
        <w:szCs w:val="20"/>
      </w:rPr>
      <w:t xml:space="preserve">Provider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56C4"/>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E293B"/>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2026-06-19T01:12:08.449Z</dcterms:created>
  <dcterms:modified xsi:type="dcterms:W3CDTF">2026-06-19T01:12:08.449Z</dcterms:modified>
</cp:coreProperties>
</file>

<file path=docProps/custom.xml><?xml version="1.0" encoding="utf-8"?>
<Properties xmlns="http://schemas.openxmlformats.org/officeDocument/2006/custom-properties" xmlns:vt="http://schemas.openxmlformats.org/officeDocument/2006/docPropsVTypes"/>
</file>