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A56C4"/>
          <w:sz w:val="52"/>
          <w:szCs w:val="52"/>
        </w:rPr>
        <w:t xml:space="preserve">QLINIQIT</w:t>
      </w:r>
    </w:p>
    <w:p>
      <w:pPr>
        <w:pBdr>
          <w:bottom w:val="single" w:color="1A56C4" w:sz="6"/>
        </w:pBdr>
        <w:spacing w:after="80"/>
        <w:jc w:val="center"/>
      </w:pPr>
      <w:r>
        <w:rPr>
          <w:rFonts w:ascii="Arial" w:cs="Arial" w:eastAsia="Arial" w:hAnsi="Arial"/>
          <w:b/>
          <w:bCs/>
          <w:color w:val="1E293B"/>
          <w:sz w:val="36"/>
          <w:szCs w:val="36"/>
        </w:rPr>
        <w:t xml:space="preserve">Terms of Service</w:t>
      </w:r>
    </w:p>
    <w:p>
      <w:pPr>
        <w:spacing w:after="80" w:before="160"/>
        <w:jc w:val="center"/>
      </w:pPr>
      <w:r>
        <w:rPr>
          <w:rFonts w:ascii="Arial" w:cs="Arial" w:eastAsia="Arial" w:hAnsi="Arial"/>
          <w:i/>
          <w:iCs/>
          <w:color w:val="64748B"/>
          <w:sz w:val="22"/>
          <w:szCs w:val="22"/>
        </w:rPr>
        <w:t xml:space="preserve">Platform Usage Agreement</w:t>
      </w:r>
    </w:p>
    <w:p>
      <w:pPr>
        <w:spacing w:after="480"/>
        <w:jc w:val="center"/>
      </w:pPr>
      <w:r>
        <w:rPr>
          <w:rFonts w:ascii="Arial" w:cs="Arial" w:eastAsia="Arial" w:hAnsi="Arial"/>
          <w:color w:val="64748B"/>
          <w:sz w:val="20"/>
          <w:szCs w:val="20"/>
        </w:rPr>
        <w:t xml:space="preserve">Effective Date: June 19, 2026</w:t>
      </w:r>
    </w:p>
    <w:p>
      <w:pPr>
        <w:pStyle w:val="Heading1"/>
      </w:pPr>
      <w:r>
        <w:t xml:space="preserve">1. Acceptance of Terms</w:t>
      </w:r>
    </w:p>
    <w:p>
      <w:pPr>
        <w:spacing w:after="160"/>
      </w:pPr>
      <w:r>
        <w:t xml:space="preserve">By accessing or using Qliniqit ("Platform," "we," "us," "our") at www.qliniqit.com, you agree to be bound by these Terms of Service ("Terms"). If you do not agree, do not use the Platform.</w:t>
      </w:r>
    </w:p>
    <w:p>
      <w:r>
        <w:t xml:space="preserve"/>
      </w:r>
    </w:p>
    <w:p>
      <w:pPr>
        <w:pStyle w:val="Heading1"/>
      </w:pPr>
      <w:r>
        <w:t xml:space="preserve">2. Platform Description</w:t>
      </w:r>
    </w:p>
    <w:p>
      <w:pPr>
        <w:spacing w:after="160"/>
      </w:pPr>
      <w:r>
        <w:t xml:space="preserve">Qliniqit is a global healthcare marketplace that connects members (patients, caregivers, and health-conscious individuals) with verified healthcare providers for in-clinic appointments, video consultations, medical events, health travel, and related services. Qliniqit is a technology platform and not a healthcare provider.</w:t>
      </w:r>
    </w:p>
    <w:p>
      <w:r>
        <w:t xml:space="preserve"/>
      </w:r>
    </w:p>
    <w:p>
      <w:pPr>
        <w:pStyle w:val="Heading1"/>
      </w:pPr>
      <w:r>
        <w:t xml:space="preserve">3. Eligibility</w:t>
      </w:r>
    </w:p>
    <w:p>
      <w:pPr>
        <w:pStyle w:val="ListParagraph"/>
        <w:numPr>
          <w:ilvl w:val="0"/>
          <w:numId w:val="2"/>
        </w:numPr>
        <w:spacing w:after="80"/>
      </w:pPr>
      <w:r>
        <w:rPr>
          <w:rFonts w:ascii="Arial" w:cs="Arial" w:eastAsia="Arial" w:hAnsi="Arial"/>
          <w:sz w:val="22"/>
          <w:szCs w:val="22"/>
        </w:rPr>
        <w:t xml:space="preserve">You must be at least 18 years of age to create an account</w:t>
      </w:r>
    </w:p>
    <w:p>
      <w:pPr>
        <w:pStyle w:val="ListParagraph"/>
        <w:numPr>
          <w:ilvl w:val="0"/>
          <w:numId w:val="2"/>
        </w:numPr>
        <w:spacing w:after="80"/>
      </w:pPr>
      <w:r>
        <w:rPr>
          <w:rFonts w:ascii="Arial" w:cs="Arial" w:eastAsia="Arial" w:hAnsi="Arial"/>
          <w:sz w:val="22"/>
          <w:szCs w:val="22"/>
        </w:rPr>
        <w:t xml:space="preserve">If registering on behalf of a minor, a parent or legal guardian must accept these Terms</w:t>
      </w:r>
    </w:p>
    <w:p>
      <w:pPr>
        <w:pStyle w:val="ListParagraph"/>
        <w:numPr>
          <w:ilvl w:val="0"/>
          <w:numId w:val="2"/>
        </w:numPr>
        <w:spacing w:after="80"/>
      </w:pPr>
      <w:r>
        <w:rPr>
          <w:rFonts w:ascii="Arial" w:cs="Arial" w:eastAsia="Arial" w:hAnsi="Arial"/>
          <w:sz w:val="22"/>
          <w:szCs w:val="22"/>
        </w:rPr>
        <w:t xml:space="preserve">You must provide accurate, current, and complete registration information</w:t>
      </w:r>
    </w:p>
    <w:p>
      <w:pPr>
        <w:pStyle w:val="ListParagraph"/>
        <w:numPr>
          <w:ilvl w:val="0"/>
          <w:numId w:val="2"/>
        </w:numPr>
        <w:spacing w:after="80"/>
      </w:pPr>
      <w:r>
        <w:rPr>
          <w:rFonts w:ascii="Arial" w:cs="Arial" w:eastAsia="Arial" w:hAnsi="Arial"/>
          <w:sz w:val="22"/>
          <w:szCs w:val="22"/>
        </w:rPr>
        <w:t xml:space="preserve">You may not create an account if you have previously been banned from the Platform</w:t>
      </w:r>
    </w:p>
    <w:p>
      <w:r>
        <w:t xml:space="preserve"/>
      </w:r>
    </w:p>
    <w:p>
      <w:pPr>
        <w:pStyle w:val="Heading1"/>
      </w:pPr>
      <w:r>
        <w:t xml:space="preserve">4. Account Types</w:t>
      </w:r>
    </w:p>
    <w:p>
      <w:pPr>
        <w:pStyle w:val="Heading2"/>
      </w:pPr>
      <w:r>
        <w:t xml:space="preserve">4.1 Member Accounts</w:t>
      </w:r>
    </w:p>
    <w:p>
      <w:pPr>
        <w:spacing w:after="160"/>
      </w:pPr>
      <w:r>
        <w:t xml:space="preserve">Members may search for providers, book appointments, attend virtual consultations, access health content, and manage their health records on the Platform.</w:t>
      </w:r>
    </w:p>
    <w:p>
      <w:pPr>
        <w:pStyle w:val="Heading2"/>
      </w:pPr>
      <w:r>
        <w:t xml:space="preserve">4.2 Provider Accounts</w:t>
      </w:r>
    </w:p>
    <w:p>
      <w:pPr>
        <w:spacing w:after="160"/>
      </w:pPr>
      <w:r>
        <w:t xml:space="preserve">Healthcare providers (doctors, clinics, hospitals, labs, pharmacies, and other health entities) may list their services, manage availability, receive bookings, conduct video consultations, and publish health content. Providers must agree to the Provider Agreement in addition to these Terms.</w:t>
      </w:r>
    </w:p>
    <w:p>
      <w:r>
        <w:t xml:space="preserve"/>
      </w:r>
    </w:p>
    <w:p>
      <w:pPr>
        <w:pStyle w:val="Heading1"/>
      </w:pPr>
      <w:r>
        <w:t xml:space="preserve">5. Prohibited Uses</w:t>
      </w:r>
    </w:p>
    <w:p>
      <w:pPr>
        <w:spacing w:after="160"/>
      </w:pPr>
      <w:r>
        <w:t xml:space="preserve">You agree not to:</w:t>
      </w:r>
    </w:p>
    <w:p>
      <w:pPr>
        <w:pStyle w:val="ListParagraph"/>
        <w:numPr>
          <w:ilvl w:val="0"/>
          <w:numId w:val="3"/>
        </w:numPr>
        <w:spacing w:after="80"/>
      </w:pPr>
      <w:r>
        <w:rPr>
          <w:rFonts w:ascii="Arial" w:cs="Arial" w:eastAsia="Arial" w:hAnsi="Arial"/>
          <w:sz w:val="22"/>
          <w:szCs w:val="22"/>
        </w:rPr>
        <w:t xml:space="preserve">Use the Platform for any unlawful purpose or in violation of any applicable law</w:t>
      </w:r>
    </w:p>
    <w:p>
      <w:pPr>
        <w:pStyle w:val="ListParagraph"/>
        <w:numPr>
          <w:ilvl w:val="0"/>
          <w:numId w:val="3"/>
        </w:numPr>
        <w:spacing w:after="80"/>
      </w:pPr>
      <w:r>
        <w:rPr>
          <w:rFonts w:ascii="Arial" w:cs="Arial" w:eastAsia="Arial" w:hAnsi="Arial"/>
          <w:sz w:val="22"/>
          <w:szCs w:val="22"/>
        </w:rPr>
        <w:t xml:space="preserve">Impersonate any person, provider, or entity</w:t>
      </w:r>
    </w:p>
    <w:p>
      <w:pPr>
        <w:pStyle w:val="ListParagraph"/>
        <w:numPr>
          <w:ilvl w:val="0"/>
          <w:numId w:val="3"/>
        </w:numPr>
        <w:spacing w:after="80"/>
      </w:pPr>
      <w:r>
        <w:rPr>
          <w:rFonts w:ascii="Arial" w:cs="Arial" w:eastAsia="Arial" w:hAnsi="Arial"/>
          <w:sz w:val="22"/>
          <w:szCs w:val="22"/>
        </w:rPr>
        <w:t xml:space="preserve">Upload false, misleading, or fraudulent credentials or information</w:t>
      </w:r>
    </w:p>
    <w:p>
      <w:pPr>
        <w:pStyle w:val="ListParagraph"/>
        <w:numPr>
          <w:ilvl w:val="0"/>
          <w:numId w:val="3"/>
        </w:numPr>
        <w:spacing w:after="80"/>
      </w:pPr>
      <w:r>
        <w:rPr>
          <w:rFonts w:ascii="Arial" w:cs="Arial" w:eastAsia="Arial" w:hAnsi="Arial"/>
          <w:sz w:val="22"/>
          <w:szCs w:val="22"/>
        </w:rPr>
        <w:t xml:space="preserve">Interfere with, disrupt, or damage the Platform or its servers</w:t>
      </w:r>
    </w:p>
    <w:p>
      <w:pPr>
        <w:pStyle w:val="ListParagraph"/>
        <w:numPr>
          <w:ilvl w:val="0"/>
          <w:numId w:val="3"/>
        </w:numPr>
        <w:spacing w:after="80"/>
      </w:pPr>
      <w:r>
        <w:rPr>
          <w:rFonts w:ascii="Arial" w:cs="Arial" w:eastAsia="Arial" w:hAnsi="Arial"/>
          <w:sz w:val="22"/>
          <w:szCs w:val="22"/>
        </w:rPr>
        <w:t xml:space="preserve">Scrape, crawl, or extract data from the Platform without written permission</w:t>
      </w:r>
    </w:p>
    <w:p>
      <w:pPr>
        <w:pStyle w:val="ListParagraph"/>
        <w:numPr>
          <w:ilvl w:val="0"/>
          <w:numId w:val="3"/>
        </w:numPr>
        <w:spacing w:after="80"/>
      </w:pPr>
      <w:r>
        <w:rPr>
          <w:rFonts w:ascii="Arial" w:cs="Arial" w:eastAsia="Arial" w:hAnsi="Arial"/>
          <w:sz w:val="22"/>
          <w:szCs w:val="22"/>
        </w:rPr>
        <w:t xml:space="preserve">Use the Platform to transmit spam, malware, or malicious code</w:t>
      </w:r>
    </w:p>
    <w:p>
      <w:pPr>
        <w:pStyle w:val="ListParagraph"/>
        <w:numPr>
          <w:ilvl w:val="0"/>
          <w:numId w:val="3"/>
        </w:numPr>
        <w:spacing w:after="80"/>
      </w:pPr>
      <w:r>
        <w:rPr>
          <w:rFonts w:ascii="Arial" w:cs="Arial" w:eastAsia="Arial" w:hAnsi="Arial"/>
          <w:sz w:val="22"/>
          <w:szCs w:val="22"/>
        </w:rPr>
        <w:t xml:space="preserve">Attempt to gain unauthorized access to any account or system</w:t>
      </w:r>
    </w:p>
    <w:p>
      <w:pPr>
        <w:pStyle w:val="ListParagraph"/>
        <w:numPr>
          <w:ilvl w:val="0"/>
          <w:numId w:val="3"/>
        </w:numPr>
        <w:spacing w:after="80"/>
      </w:pPr>
      <w:r>
        <w:rPr>
          <w:rFonts w:ascii="Arial" w:cs="Arial" w:eastAsia="Arial" w:hAnsi="Arial"/>
          <w:sz w:val="22"/>
          <w:szCs w:val="22"/>
        </w:rPr>
        <w:t xml:space="preserve">Harass, abuse, or harm other users or providers</w:t>
      </w:r>
    </w:p>
    <w:p>
      <w:pPr>
        <w:pStyle w:val="ListParagraph"/>
        <w:numPr>
          <w:ilvl w:val="0"/>
          <w:numId w:val="3"/>
        </w:numPr>
        <w:spacing w:after="80"/>
      </w:pPr>
      <w:r>
        <w:rPr>
          <w:rFonts w:ascii="Arial" w:cs="Arial" w:eastAsia="Arial" w:hAnsi="Arial"/>
          <w:sz w:val="22"/>
          <w:szCs w:val="22"/>
        </w:rPr>
        <w:t xml:space="preserve">Use the Platform in any way that could harm minors</w:t>
      </w:r>
    </w:p>
    <w:p>
      <w:r>
        <w:t xml:space="preserve"/>
      </w:r>
    </w:p>
    <w:p>
      <w:pPr>
        <w:pStyle w:val="Heading1"/>
      </w:pPr>
      <w:r>
        <w:t xml:space="preserve">6. Telemedicine Disclaimer</w:t>
      </w:r>
    </w:p>
    <w:p>
      <w:pPr>
        <w:spacing w:after="160"/>
      </w:pPr>
      <w:r>
        <w:t xml:space="preserve">IMPORTANT: Qliniqit facilitates access to telemedicine services but is not a medical provider. The following limitations apply:</w:t>
      </w:r>
    </w:p>
    <w:p>
      <w:pPr>
        <w:pStyle w:val="ListParagraph"/>
        <w:numPr>
          <w:ilvl w:val="0"/>
          <w:numId w:val="2"/>
        </w:numPr>
        <w:spacing w:after="80"/>
      </w:pPr>
      <w:r>
        <w:rPr>
          <w:rFonts w:ascii="Arial" w:cs="Arial" w:eastAsia="Arial" w:hAnsi="Arial"/>
          <w:sz w:val="22"/>
          <w:szCs w:val="22"/>
        </w:rPr>
        <w:t xml:space="preserve">Telemedicine is not a substitute for in-person care in all circumstances</w:t>
      </w:r>
    </w:p>
    <w:p>
      <w:pPr>
        <w:pStyle w:val="ListParagraph"/>
        <w:numPr>
          <w:ilvl w:val="0"/>
          <w:numId w:val="2"/>
        </w:numPr>
        <w:spacing w:after="80"/>
      </w:pPr>
      <w:r>
        <w:rPr>
          <w:rFonts w:ascii="Arial" w:cs="Arial" w:eastAsia="Arial" w:hAnsi="Arial"/>
          <w:sz w:val="22"/>
          <w:szCs w:val="22"/>
        </w:rPr>
        <w:t xml:space="preserve">In a medical emergency, call your local emergency services immediately (e.g., 911, 112, 911)</w:t>
      </w:r>
    </w:p>
    <w:p>
      <w:pPr>
        <w:pStyle w:val="ListParagraph"/>
        <w:numPr>
          <w:ilvl w:val="0"/>
          <w:numId w:val="2"/>
        </w:numPr>
        <w:spacing w:after="80"/>
      </w:pPr>
      <w:r>
        <w:rPr>
          <w:rFonts w:ascii="Arial" w:cs="Arial" w:eastAsia="Arial" w:hAnsi="Arial"/>
          <w:sz w:val="22"/>
          <w:szCs w:val="22"/>
        </w:rPr>
        <w:t xml:space="preserve">Qliniqit cannot guarantee the accuracy, completeness, or suitability of any medical advice provided by providers on the Platform</w:t>
      </w:r>
    </w:p>
    <w:p>
      <w:pPr>
        <w:pStyle w:val="ListParagraph"/>
        <w:numPr>
          <w:ilvl w:val="0"/>
          <w:numId w:val="2"/>
        </w:numPr>
        <w:spacing w:after="80"/>
      </w:pPr>
      <w:r>
        <w:rPr>
          <w:rFonts w:ascii="Arial" w:cs="Arial" w:eastAsia="Arial" w:hAnsi="Arial"/>
          <w:sz w:val="22"/>
          <w:szCs w:val="22"/>
        </w:rPr>
        <w:t xml:space="preserve">Providers are independent professionals and are not employees of Qliniqit</w:t>
      </w:r>
    </w:p>
    <w:p>
      <w:pPr>
        <w:pStyle w:val="ListParagraph"/>
        <w:numPr>
          <w:ilvl w:val="0"/>
          <w:numId w:val="2"/>
        </w:numPr>
        <w:spacing w:after="80"/>
      </w:pPr>
      <w:r>
        <w:rPr>
          <w:rFonts w:ascii="Arial" w:cs="Arial" w:eastAsia="Arial" w:hAnsi="Arial"/>
          <w:sz w:val="22"/>
          <w:szCs w:val="22"/>
        </w:rPr>
        <w:t xml:space="preserve">Qliniqit is not liable for any medical advice, diagnosis, or treatment rendered by providers</w:t>
      </w:r>
    </w:p>
    <w:p>
      <w:r>
        <w:t xml:space="preserve"/>
      </w:r>
    </w:p>
    <w:p>
      <w:pPr>
        <w:pStyle w:val="Heading1"/>
      </w:pPr>
      <w:r>
        <w:t xml:space="preserve">7. Payments and Fees</w:t>
      </w:r>
    </w:p>
    <w:p>
      <w:pPr>
        <w:pStyle w:val="Heading2"/>
      </w:pPr>
      <w:r>
        <w:t xml:space="preserve">7.1 Booking Fees</w:t>
      </w:r>
    </w:p>
    <w:p>
      <w:pPr>
        <w:spacing w:after="160"/>
      </w:pPr>
      <w:r>
        <w:t xml:space="preserve">Consultation fees are set by individual providers and displayed prior to booking. Qliniqit charges a service fee on each transaction, which is included in the displayed price or disclosed separately at checkout.</w:t>
      </w:r>
    </w:p>
    <w:p>
      <w:pPr>
        <w:pStyle w:val="Heading2"/>
      </w:pPr>
      <w:r>
        <w:t xml:space="preserve">7.2 Payment Processing</w:t>
      </w:r>
    </w:p>
    <w:p>
      <w:pPr>
        <w:spacing w:after="160"/>
      </w:pPr>
      <w:r>
        <w:t xml:space="preserve">Payments are processed by Stripe. By making a payment, you agree to Stripe's Terms of Service. Qliniqit does not store your full payment card information.</w:t>
      </w:r>
    </w:p>
    <w:p>
      <w:pPr>
        <w:pStyle w:val="Heading2"/>
      </w:pPr>
      <w:r>
        <w:t xml:space="preserve">7.3 Cancellation and Refunds</w:t>
      </w:r>
    </w:p>
    <w:p>
      <w:pPr>
        <w:pStyle w:val="ListParagraph"/>
        <w:numPr>
          <w:ilvl w:val="0"/>
          <w:numId w:val="2"/>
        </w:numPr>
        <w:spacing w:after="80"/>
      </w:pPr>
      <w:r>
        <w:rPr>
          <w:rFonts w:ascii="Arial" w:cs="Arial" w:eastAsia="Arial" w:hAnsi="Arial"/>
          <w:sz w:val="22"/>
          <w:szCs w:val="22"/>
        </w:rPr>
        <w:t xml:space="preserve">Cancellations made more than 24 hours before the appointment: full refund</w:t>
      </w:r>
    </w:p>
    <w:p>
      <w:pPr>
        <w:pStyle w:val="ListParagraph"/>
        <w:numPr>
          <w:ilvl w:val="0"/>
          <w:numId w:val="2"/>
        </w:numPr>
        <w:spacing w:after="80"/>
      </w:pPr>
      <w:r>
        <w:rPr>
          <w:rFonts w:ascii="Arial" w:cs="Arial" w:eastAsia="Arial" w:hAnsi="Arial"/>
          <w:sz w:val="22"/>
          <w:szCs w:val="22"/>
        </w:rPr>
        <w:t xml:space="preserve">Cancellations made 12-24 hours before the appointment: 50% refund</w:t>
      </w:r>
    </w:p>
    <w:p>
      <w:pPr>
        <w:pStyle w:val="ListParagraph"/>
        <w:numPr>
          <w:ilvl w:val="0"/>
          <w:numId w:val="2"/>
        </w:numPr>
        <w:spacing w:after="80"/>
      </w:pPr>
      <w:r>
        <w:rPr>
          <w:rFonts w:ascii="Arial" w:cs="Arial" w:eastAsia="Arial" w:hAnsi="Arial"/>
          <w:sz w:val="22"/>
          <w:szCs w:val="22"/>
        </w:rPr>
        <w:t xml:space="preserve">Cancellations made less than 12 hours before the appointment: no refund</w:t>
      </w:r>
    </w:p>
    <w:p>
      <w:pPr>
        <w:pStyle w:val="ListParagraph"/>
        <w:numPr>
          <w:ilvl w:val="0"/>
          <w:numId w:val="2"/>
        </w:numPr>
        <w:spacing w:after="80"/>
      </w:pPr>
      <w:r>
        <w:rPr>
          <w:rFonts w:ascii="Arial" w:cs="Arial" w:eastAsia="Arial" w:hAnsi="Arial"/>
          <w:sz w:val="22"/>
          <w:szCs w:val="22"/>
        </w:rPr>
        <w:t xml:space="preserve">No-shows without cancellation: no refund</w:t>
      </w:r>
    </w:p>
    <w:p>
      <w:pPr>
        <w:pStyle w:val="ListParagraph"/>
        <w:numPr>
          <w:ilvl w:val="0"/>
          <w:numId w:val="2"/>
        </w:numPr>
        <w:spacing w:after="80"/>
      </w:pPr>
      <w:r>
        <w:rPr>
          <w:rFonts w:ascii="Arial" w:cs="Arial" w:eastAsia="Arial" w:hAnsi="Arial"/>
          <w:sz w:val="22"/>
          <w:szCs w:val="22"/>
        </w:rPr>
        <w:t xml:space="preserve">Provider-initiated cancellations: full refund to member</w:t>
      </w:r>
    </w:p>
    <w:p>
      <w:pPr>
        <w:pStyle w:val="ListParagraph"/>
        <w:numPr>
          <w:ilvl w:val="0"/>
          <w:numId w:val="2"/>
        </w:numPr>
        <w:spacing w:after="80"/>
      </w:pPr>
      <w:r>
        <w:rPr>
          <w:rFonts w:ascii="Arial" w:cs="Arial" w:eastAsia="Arial" w:hAnsi="Arial"/>
          <w:sz w:val="22"/>
          <w:szCs w:val="22"/>
        </w:rPr>
        <w:t xml:space="preserve">Technical issues attributable to Qliniqit: full refund at our discretion</w:t>
      </w:r>
    </w:p>
    <w:p>
      <w:pPr>
        <w:spacing w:after="160"/>
      </w:pPr>
      <w:r>
        <w:t xml:space="preserve">Refund requests must be submitted within 7 days of the appointment through your account dashboard.</w:t>
      </w:r>
    </w:p>
    <w:p>
      <w:r>
        <w:t xml:space="preserve"/>
      </w:r>
    </w:p>
    <w:p>
      <w:pPr>
        <w:pStyle w:val="Heading1"/>
      </w:pPr>
      <w:r>
        <w:t xml:space="preserve">8. Intellectual Property</w:t>
      </w:r>
    </w:p>
    <w:p>
      <w:pPr>
        <w:spacing w:after="160"/>
      </w:pPr>
      <w:r>
        <w:t xml:space="preserve">All content on the Platform, including software, design, logos, text, and graphics, is the intellectual property of Qliniqit or its licensors and is protected by copyright, trademark, and other intellectual property laws.</w:t>
      </w:r>
    </w:p>
    <w:p>
      <w:pPr>
        <w:spacing w:after="160"/>
      </w:pPr>
      <w:r>
        <w:t xml:space="preserve">You may not reproduce, distribute, modify, or create derivative works of any Platform content without our prior written consent.</w:t>
      </w:r>
    </w:p>
    <w:p>
      <w:pPr>
        <w:spacing w:after="160"/>
      </w:pPr>
      <w:r>
        <w:t xml:space="preserve">Health content published by providers remains their intellectual property. By publishing on the Platform, providers grant Qliniqit a non-exclusive, royalty-free license to display and distribute such content.</w:t>
      </w:r>
    </w:p>
    <w:p>
      <w:r>
        <w:t xml:space="preserve"/>
      </w:r>
    </w:p>
    <w:p>
      <w:pPr>
        <w:pStyle w:val="Heading1"/>
      </w:pPr>
      <w:r>
        <w:t xml:space="preserve">9. Limitation of Liability</w:t>
      </w:r>
    </w:p>
    <w:p>
      <w:pPr>
        <w:spacing w:after="160"/>
      </w:pPr>
      <w:r>
        <w:t xml:space="preserve">TO THE MAXIMUM EXTENT PERMITTED BY APPLICABLE LAW, QLINIQIT AND ITS OFFICERS, DIRECTORS, EMPLOYEES, AND AGENTS SHALL NOT BE LIABLE FOR ANY INDIRECT, INCIDENTAL, SPECIAL, CONSEQUENTIAL, OR PUNITIVE DAMAGES, INCLUDING LOSS OF DATA, LOSS OF REVENUE, OR PERSONAL INJURY, ARISING FROM OR RELATED TO YOUR USE OF THE PLATFORM.</w:t>
      </w:r>
    </w:p>
    <w:p>
      <w:pPr>
        <w:spacing w:after="160"/>
      </w:pPr>
      <w:r>
        <w:t xml:space="preserve">Our total liability to you for any claim arising from these Terms or your use of the Platform shall not exceed the amount you paid to Qliniqit in the 12 months preceding the claim.</w:t>
      </w:r>
    </w:p>
    <w:p>
      <w:r>
        <w:t xml:space="preserve"/>
      </w:r>
    </w:p>
    <w:p>
      <w:pPr>
        <w:pStyle w:val="Heading1"/>
      </w:pPr>
      <w:r>
        <w:t xml:space="preserve">10. Indemnification</w:t>
      </w:r>
    </w:p>
    <w:p>
      <w:pPr>
        <w:spacing w:after="160"/>
      </w:pPr>
      <w:r>
        <w:t xml:space="preserve">You agree to indemnify, defend, and hold harmless Qliniqit and its officers, directors, employees, and agents from any claims, damages, losses, liabilities, and expenses (including legal fees) arising from: (a) your use of the Platform; (b) your violation of these Terms; (c) your violation of any rights of a third party; or (d) any content you submit to the Platform.</w:t>
      </w:r>
    </w:p>
    <w:p>
      <w:r>
        <w:t xml:space="preserve"/>
      </w:r>
    </w:p>
    <w:p>
      <w:pPr>
        <w:pStyle w:val="Heading1"/>
      </w:pPr>
      <w:r>
        <w:t xml:space="preserve">11. Governing Law and Dispute Resolution</w:t>
      </w:r>
    </w:p>
    <w:p>
      <w:pPr>
        <w:spacing w:after="160"/>
      </w:pPr>
      <w:r>
        <w:t xml:space="preserve">These Terms are governed by and construed in accordance with the laws of the Hashemite Kingdom of Jordan, without regard to conflict of law principles.</w:t>
      </w:r>
    </w:p>
    <w:p>
      <w:pPr>
        <w:spacing w:after="160"/>
      </w:pPr>
      <w:r>
        <w:t xml:space="preserve">Any dispute arising from these Terms shall first be attempted to be resolved through good-faith negotiation. If not resolved within 30 days, disputes shall be submitted to binding arbitration in Amman, Jordan, in accordance with applicable arbitration rules.</w:t>
      </w:r>
    </w:p>
    <w:p>
      <w:pPr>
        <w:spacing w:after="160"/>
      </w:pPr>
      <w:r>
        <w:t xml:space="preserve">Notwithstanding the above, either party may seek emergency injunctive relief in a court of competent jurisdiction.</w:t>
      </w:r>
    </w:p>
    <w:p>
      <w:r>
        <w:t xml:space="preserve"/>
      </w:r>
    </w:p>
    <w:p>
      <w:pPr>
        <w:pStyle w:val="Heading1"/>
      </w:pPr>
      <w:r>
        <w:t xml:space="preserve">12. Termination</w:t>
      </w:r>
    </w:p>
    <w:p>
      <w:pPr>
        <w:spacing w:after="160"/>
      </w:pPr>
      <w:r>
        <w:t xml:space="preserve">We may suspend or terminate your account immediately, without notice, if you:</w:t>
      </w:r>
    </w:p>
    <w:p>
      <w:pPr>
        <w:pStyle w:val="ListParagraph"/>
        <w:numPr>
          <w:ilvl w:val="0"/>
          <w:numId w:val="2"/>
        </w:numPr>
        <w:spacing w:after="80"/>
      </w:pPr>
      <w:r>
        <w:rPr>
          <w:rFonts w:ascii="Arial" w:cs="Arial" w:eastAsia="Arial" w:hAnsi="Arial"/>
          <w:sz w:val="22"/>
          <w:szCs w:val="22"/>
        </w:rPr>
        <w:t xml:space="preserve">Violate these Terms or the Provider Agreement</w:t>
      </w:r>
    </w:p>
    <w:p>
      <w:pPr>
        <w:pStyle w:val="ListParagraph"/>
        <w:numPr>
          <w:ilvl w:val="0"/>
          <w:numId w:val="2"/>
        </w:numPr>
        <w:spacing w:after="80"/>
      </w:pPr>
      <w:r>
        <w:rPr>
          <w:rFonts w:ascii="Arial" w:cs="Arial" w:eastAsia="Arial" w:hAnsi="Arial"/>
          <w:sz w:val="22"/>
          <w:szCs w:val="22"/>
        </w:rPr>
        <w:t xml:space="preserve">Provide false or misleading information</w:t>
      </w:r>
    </w:p>
    <w:p>
      <w:pPr>
        <w:pStyle w:val="ListParagraph"/>
        <w:numPr>
          <w:ilvl w:val="0"/>
          <w:numId w:val="2"/>
        </w:numPr>
        <w:spacing w:after="80"/>
      </w:pPr>
      <w:r>
        <w:rPr>
          <w:rFonts w:ascii="Arial" w:cs="Arial" w:eastAsia="Arial" w:hAnsi="Arial"/>
          <w:sz w:val="22"/>
          <w:szCs w:val="22"/>
        </w:rPr>
        <w:t xml:space="preserve">Engage in fraudulent, abusive, or harmful conduct</w:t>
      </w:r>
    </w:p>
    <w:p>
      <w:pPr>
        <w:pStyle w:val="ListParagraph"/>
        <w:numPr>
          <w:ilvl w:val="0"/>
          <w:numId w:val="2"/>
        </w:numPr>
        <w:spacing w:after="80"/>
      </w:pPr>
      <w:r>
        <w:rPr>
          <w:rFonts w:ascii="Arial" w:cs="Arial" w:eastAsia="Arial" w:hAnsi="Arial"/>
          <w:sz w:val="22"/>
          <w:szCs w:val="22"/>
        </w:rPr>
        <w:t xml:space="preserve">Fail to pay amounts owed</w:t>
      </w:r>
    </w:p>
    <w:p>
      <w:pPr>
        <w:spacing w:after="160"/>
      </w:pPr>
      <w:r>
        <w:t xml:space="preserve">Upon termination, your right to use the Platform ceases immediately. We may retain your data as required by law or our retention policy.</w:t>
      </w:r>
    </w:p>
    <w:p>
      <w:r>
        <w:t xml:space="preserve"/>
      </w:r>
    </w:p>
    <w:p>
      <w:pPr>
        <w:pStyle w:val="Heading1"/>
      </w:pPr>
      <w:r>
        <w:t xml:space="preserve">13. Changes to These Terms</w:t>
      </w:r>
    </w:p>
    <w:p>
      <w:pPr>
        <w:spacing w:after="160"/>
      </w:pPr>
      <w:r>
        <w:t xml:space="preserve">We may update these Terms at any time. We will notify you of material changes at least 30 days in advance via email. Continued use after the effective date constitutes acceptance.</w:t>
      </w:r>
    </w:p>
    <w:p>
      <w:r>
        <w:t xml:space="preserve"/>
      </w:r>
    </w:p>
    <w:p>
      <w:pPr>
        <w:pStyle w:val="Heading1"/>
      </w:pPr>
      <w:r>
        <w:t xml:space="preserve">14. Contact</w:t>
      </w:r>
    </w:p>
    <w:p>
      <w:pPr>
        <w:spacing w:after="160"/>
      </w:pPr>
      <w:r>
        <w:t xml:space="preserve">Qliniqit | www.qliniqit.com | aiman@hu.edu.jo</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pBdr>
      <w:spacing w:before="120"/>
      <w:jc w:val="center"/>
    </w:pPr>
    <w:r>
      <w:rPr>
        <w:rFonts w:ascii="Arial" w:cs="Arial" w:eastAsia="Arial" w:hAnsi="Arial"/>
        <w:color w:val="64748B"/>
        <w:sz w:val="18"/>
        <w:szCs w:val="18"/>
      </w:rPr>
      <w:t xml:space="preserve">www.qliniqit.com  |  aiman@hu.edu.jo  |  Page </w:t>
    </w:r>
    <w:r>
      <w:rPr>
        <w:rFonts w:ascii="Arial" w:cs="Arial" w:eastAsia="Arial" w:hAnsi="Arial"/>
        <w:color w:val="64748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6C4" w:sz="4"/>
      </w:pBdr>
      <w:spacing w:after="120"/>
    </w:pPr>
    <w:r>
      <w:rPr>
        <w:rFonts w:ascii="Arial" w:cs="Arial" w:eastAsia="Arial" w:hAnsi="Arial"/>
        <w:b/>
        <w:bCs/>
        <w:color w:val="1A56C4"/>
        <w:sz w:val="20"/>
        <w:szCs w:val="20"/>
      </w:rPr>
      <w:t xml:space="preserve">QLINIQIT  |  </w:t>
    </w:r>
    <w:r>
      <w:rPr>
        <w:rFonts w:ascii="Arial" w:cs="Arial" w:eastAsia="Arial" w:hAnsi="Arial"/>
        <w:color w:val="64748B"/>
        <w:sz w:val="20"/>
        <w:szCs w:val="20"/>
      </w:rPr>
      <w:t xml:space="preserve">Terms of Service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A56C4"/>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1E293B"/>
      <w:sz w:val="26"/>
      <w:szCs w:val="26"/>
    </w:rPr>
  </w:style>
  <w:style w:type="paragraph" w:styleId="Heading3">
    <w:name w:val="Heading 3"/>
    <w:basedOn w:val="Normal"/>
    <w:next w:val="Normal"/>
    <w:qFormat/>
    <w:pPr>
      <w:spacing w:after="80" w:before="240"/>
      <w:outlineLvl w:val="2"/>
    </w:pPr>
    <w:rPr>
      <w:rFonts w:ascii="Arial" w:cs="Arial" w:eastAsia="Arial" w:hAnsi="Arial"/>
      <w:b/>
      <w:bCs/>
      <w:color w:val="1E293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2026-06-19T01:12:08.441Z</dcterms:created>
  <dcterms:modified xsi:type="dcterms:W3CDTF">2026-06-19T01:12:08.441Z</dcterms:modified>
</cp:coreProperties>
</file>

<file path=docProps/custom.xml><?xml version="1.0" encoding="utf-8"?>
<Properties xmlns="http://schemas.openxmlformats.org/officeDocument/2006/custom-properties" xmlns:vt="http://schemas.openxmlformats.org/officeDocument/2006/docPropsVTypes"/>
</file>