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经营分析</w:t>
      </w:r>
    </w:p>
    <w:p>
      <w:r>
        <w:t>管理层每月需对店铺经营数据进行复盘，分析销售额、毛利和费用结构。</w:t>
      </w:r>
    </w:p>
    <w:p>
      <w:r>
        <w:t>重点分析流量来源、转化漏斗和复购率变化趋势。</w:t>
      </w:r>
    </w:p>
    <w:p>
      <w:r>
        <w:t>经营分析报告须在每月5日前提交，供管理层例会讨论。</w:t>
      </w:r>
    </w:p>
    <w:p>
      <w:pPr>
        <w:pStyle w:val="Heading1"/>
      </w:pPr>
      <w:r>
        <w:t>财务指标</w:t>
      </w:r>
    </w:p>
    <w:p>
      <w:r>
        <w:t>核心财务指标包括毛利率、净利率、资金周转天数和广告投入产出比。</w:t>
      </w:r>
    </w:p>
    <w:p>
      <w:r>
        <w:t>单笔金额超过50万元的支出需董事会审批。</w:t>
      </w:r>
    </w:p>
    <w:p>
      <w:r>
        <w:t>财务数据严格保密，仅限管理层和财务部门查阅。</w:t>
      </w:r>
    </w:p>
    <w:p>
      <w:pPr>
        <w:pStyle w:val="Heading1"/>
      </w:pPr>
      <w:r>
        <w:t>战略规划</w:t>
      </w:r>
    </w:p>
    <w:p>
      <w:r>
        <w:t>季度战略规划需明确市场定位、品类布局和增长目标。</w:t>
      </w:r>
    </w:p>
    <w:p>
      <w:r>
        <w:t>战略执行按月拆解为可衡量的关键结果，并跟踪完成进度。</w:t>
      </w:r>
    </w:p>
    <w:p>
      <w:r>
        <w:t>年度战略规划须在每年第四季度完成，报董事会批准。</w:t>
      </w:r>
    </w:p>
    <w:p>
      <w:pPr>
        <w:pStyle w:val="Heading1"/>
      </w:pPr>
      <w:r>
        <w:t>管理流程</w:t>
      </w:r>
    </w:p>
    <w:p>
      <w:r>
        <w:t>重大经营决策须经管理层会议集体讨论并形成书面决议。</w:t>
      </w:r>
    </w:p>
    <w:p>
      <w:r>
        <w:t>跨部门协作事项由牵头部门负责人统一协调推进。</w:t>
      </w:r>
    </w:p>
    <w:p>
      <w:r>
        <w:t>管理层任免和薪酬调整须由董事会审批通过。</w:t>
      </w:r>
    </w:p>
    <w:p>
      <w:pPr>
        <w:pStyle w:val="Heading1"/>
      </w:pPr>
      <w:r>
        <w:t>竞争分析</w:t>
      </w:r>
    </w:p>
    <w:p>
      <w:r>
        <w:t>定期分析竞品价格、卖点和营销策略，形成竞争情报报告。</w:t>
      </w:r>
    </w:p>
    <w:p>
      <w:r>
        <w:t>根据竞争环境调整商品定价和投放策略，保持市场竞争力。</w:t>
      </w:r>
    </w:p>
    <w:p>
      <w:r>
        <w:t>竞争情报报告每季度更新一次，重大市场变化随时上报。</w:t>
      </w:r>
    </w:p>
    <w:p>
      <w:pPr>
        <w:pStyle w:val="Heading1"/>
      </w:pPr>
      <w:r>
        <w:t>风险与合规</w:t>
      </w:r>
    </w:p>
    <w:p>
      <w:r>
        <w:t>管理层须确保经营行为符合当地法律法规和平台规则。</w:t>
      </w:r>
    </w:p>
    <w:p>
      <w:r>
        <w:t>重大合同签署前须经法务审核，规避法律和税务风险。</w:t>
      </w:r>
    </w:p>
    <w:p>
      <w:r>
        <w:t>建立经营风险台账，定期评估供应链、资金和合规风险。</w:t>
      </w:r>
    </w:p>
    <w:p>
      <w:r>
        <w:t>发生重大风险事件时，须在24小时内上报董事会并启动预案。</w:t>
      </w:r>
    </w:p>
    <w:p>
      <w:pPr>
        <w:pStyle w:val="Heading1"/>
      </w:pPr>
      <w:r>
        <w:t>人才与组织</w:t>
      </w:r>
    </w:p>
    <w:p>
      <w:r>
        <w:t>关键岗位实行人才梯队培养，确保核心业务持续稳定。</w:t>
      </w:r>
    </w:p>
    <w:p>
      <w:r>
        <w:t>管理层的绩效考核与经营目标完成情况直接挂钩。</w:t>
      </w:r>
    </w:p>
    <w:p>
      <w:r>
        <w:t>组织架构调整须经董事会批准，并做好人员沟通安排。</w:t>
      </w:r>
    </w:p>
    <w:p>
      <w:r>
        <w:t>核心人才的引进与保留由董事会统一决策管理。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