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广告创建流程</w:t>
      </w:r>
    </w:p>
    <w:p>
      <w:r>
        <w:t>新建广告活动前，先明确投放目标、预算和投放周期。</w:t>
      </w:r>
    </w:p>
    <w:p>
      <w:r>
        <w:t>选择商品和关键词后，设置默认竞价和匹配方式。</w:t>
      </w:r>
    </w:p>
    <w:p>
      <w:r>
        <w:t>提交前检查广告素材，确保符合平台内容规范。</w:t>
      </w:r>
    </w:p>
    <w:p>
      <w:r>
        <w:t>广告创建完成后需等待平台审核，审核通过后才会开始投放。</w:t>
      </w:r>
    </w:p>
    <w:p>
      <w:pPr>
        <w:pStyle w:val="Heading1"/>
      </w:pPr>
      <w:r>
        <w:t>自动投放</w:t>
      </w:r>
    </w:p>
    <w:p>
      <w:r>
        <w:t>自动投放适合快速起量，系统会根据商品特征自动匹配流量。</w:t>
      </w:r>
    </w:p>
    <w:p>
      <w:r>
        <w:t>自动投放期间需每日监控点击率和转化率，及时调整预算。</w:t>
      </w:r>
    </w:p>
    <w:p>
      <w:r>
        <w:t>起量阶段的自动投放建议设置每日预算上限，控制成本。</w:t>
      </w:r>
    </w:p>
    <w:p>
      <w:pPr>
        <w:pStyle w:val="Heading1"/>
      </w:pPr>
      <w:r>
        <w:t>手动投放</w:t>
      </w:r>
    </w:p>
    <w:p>
      <w:r>
        <w:t>手动投放需自行选择关键词，建议按搜索词报告逐步优化。</w:t>
      </w:r>
    </w:p>
    <w:p>
      <w:r>
        <w:t>精确匹配词组用于控制流量精准度，广泛匹配用于探索新词。</w:t>
      </w:r>
    </w:p>
    <w:p>
      <w:r>
        <w:t>每周导出搜索词报告，筛选高转化的关键词进行重点投放。</w:t>
      </w:r>
    </w:p>
    <w:p>
      <w:pPr>
        <w:pStyle w:val="Heading1"/>
      </w:pPr>
      <w:r>
        <w:t>ACOS分析</w:t>
      </w:r>
    </w:p>
    <w:p>
      <w:r>
        <w:t>ACOS突然升高时，先检查竞价是否被自动提高。</w:t>
      </w:r>
    </w:p>
    <w:p>
      <w:r>
        <w:t>再核对关键词匹配方式是否变化，以及预算是否异常消耗。</w:t>
      </w:r>
    </w:p>
    <w:p>
      <w:r>
        <w:t>分析搜索词报告，识别无效点击来源并否定投放。</w:t>
      </w:r>
    </w:p>
    <w:p>
      <w:r>
        <w:t>对比同类商品ACOS基准，判断当前投放效率是否健康。</w:t>
      </w:r>
    </w:p>
    <w:p>
      <w:pPr>
        <w:pStyle w:val="Heading1"/>
      </w:pPr>
      <w:r>
        <w:t>调价策略</w:t>
      </w:r>
    </w:p>
    <w:p>
      <w:r>
        <w:t>高转化关键词可适当提高竞价以争取更多展示。</w:t>
      </w:r>
    </w:p>
    <w:p>
      <w:r>
        <w:t>低转化关键词降低竞价或暂停，避免无效花费。</w:t>
      </w:r>
    </w:p>
    <w:p>
      <w:r>
        <w:t>调价后观察24小时数据，再决定是否继续调整。</w:t>
      </w:r>
    </w:p>
    <w:p>
      <w:pPr>
        <w:pStyle w:val="Heading1"/>
      </w:pPr>
      <w:r>
        <w:t>异常处理</w:t>
      </w:r>
    </w:p>
    <w:p>
      <w:r>
        <w:t>广告消耗异常需立即暂停活动，排查是否有恶意点击。</w:t>
      </w:r>
    </w:p>
    <w:p>
      <w:r>
        <w:t>数据异常时及时截图留证，并上报运营主管处理。</w:t>
      </w:r>
    </w:p>
    <w:p>
      <w:r>
        <w:t>广告审核被拒时，修改违规素材后重新提交审核。</w:t>
      </w:r>
    </w:p>
    <w:p>
      <w:pPr>
        <w:pStyle w:val="Heading1"/>
      </w:pPr>
      <w:r>
        <w:t>数据复盘与报表</w:t>
      </w:r>
    </w:p>
    <w:p>
      <w:r>
        <w:t>每日上午10点前完成前一日广告数据复盘并输出日报。</w:t>
      </w:r>
    </w:p>
    <w:p>
      <w:r>
        <w:t>每周五汇总本周投放效果，形成周报提交运营主管审阅。</w:t>
      </w:r>
    </w:p>
    <w:p>
      <w:r>
        <w:t>复盘重点关注点击率、转化率和ACOS三个核心指标的变化。</w:t>
      </w:r>
    </w:p>
    <w:p>
      <w:r>
        <w:t>所有投放数据须留存至少六个月，便于后期追溯和审计。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