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竞价检查</w:t>
      </w:r>
    </w:p>
    <w:p>
      <w:r>
        <w:t>广告ACOS突然升高，先检查竞价设置是否被提高。</w:t>
      </w:r>
    </w:p>
    <w:p>
      <w:r>
        <w:t>核对关键词匹配方式和广告预算是否异常。</w:t>
      </w:r>
    </w:p>
    <w:p>
      <w:pPr>
        <w:pStyle w:val="Heading1"/>
      </w:pPr>
      <w:r>
        <w:t>素材规范</w:t>
      </w:r>
    </w:p>
    <w:p>
      <w:r>
        <w:t>广告素材不得含有绝对化用语，如最、第一、顶级等。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