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薪酬制度</w:t>
      </w:r>
    </w:p>
    <w:p>
      <w:r>
        <w:t>管理层薪酬结构为基本工资加绩效奖金。</w:t>
      </w:r>
    </w:p>
    <w:p>
      <w:r>
        <w:t>绩效奖金根据季度目标完成情况发放。</w:t>
      </w:r>
    </w:p>
    <w:p>
      <w:pPr>
        <w:pStyle w:val="Heading1"/>
      </w:pPr>
      <w:r>
        <w:t>审批权限</w:t>
      </w:r>
    </w:p>
    <w:p>
      <w:r>
        <w:t>单笔金额超过50万元的支出需董事会审批。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