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t>kū-shī</w:t>
      </w:r>
      <w:proofErr w:type="spellEnd"/>
      <w:r w:rsidRPr="00197B71">
        <w:t xml:space="preserve"> </w:t>
      </w:r>
      <w:proofErr w:type="spellStart"/>
      <w:r w:rsidRPr="00197B71">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t>tī</w:t>
      </w:r>
      <w:proofErr w:type="spellEnd"/>
      <w:r w:rsidRPr="00EA6370">
        <w:t xml:space="preserve"> “kick” forms both </w:t>
      </w:r>
      <w:proofErr w:type="spellStart"/>
      <w:r w:rsidRPr="00EA6370">
        <w:t>tī-dǎo</w:t>
      </w:r>
      <w:proofErr w:type="spellEnd"/>
      <w:r w:rsidRPr="00EA6370">
        <w:t xml:space="preserve"> “kick-fallen” and </w:t>
      </w:r>
      <w:proofErr w:type="spellStart"/>
      <w:r w:rsidRPr="00EA6370">
        <w:t>tī-kāi</w:t>
      </w:r>
      <w:proofErr w:type="spellEnd"/>
      <w:r w:rsidRPr="00EA6370">
        <w:t xml:space="preserve"> “kick-open,” and </w:t>
      </w:r>
      <w:proofErr w:type="spellStart"/>
      <w:r w:rsidRPr="00EA6370">
        <w:t>miè</w:t>
      </w:r>
      <w:proofErr w:type="spellEnd"/>
      <w:r w:rsidRPr="00EA6370">
        <w:t xml:space="preserve"> “extinguished” follows both </w:t>
      </w:r>
      <w:proofErr w:type="spellStart"/>
      <w:r w:rsidRPr="00EA6370">
        <w:t>chuī</w:t>
      </w:r>
      <w:proofErr w:type="spellEnd"/>
      <w:r w:rsidRPr="00EA6370">
        <w:t xml:space="preserve"> “blow” and </w:t>
      </w:r>
      <w:proofErr w:type="spellStart"/>
      <w:r w:rsidRPr="00EA6370">
        <w:t>pū</w:t>
      </w:r>
      <w:proofErr w:type="spellEnd"/>
      <w:r w:rsidRPr="00EA6370">
        <w:t xml:space="preserve"> “beat.” These combinations are not equally conventional, however, and existing accounts do not specify what makes the action named by a given V1 a </w:t>
      </w:r>
      <w:proofErr w:type="gramStart"/>
      <w:r w:rsidRPr="00EA6370">
        <w:t>more or less natural</w:t>
      </w:r>
      <w:proofErr w:type="gramEnd"/>
      <w:r w:rsidRPr="00EA6370">
        <w:t xml:space="preserve">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xml:space="preserve">, 1991, 2000), and as causative verbs that nevertheless allow zero-change </w:t>
      </w:r>
      <w:proofErr w:type="spellStart"/>
      <w:r>
        <w:t>construals</w:t>
      </w:r>
      <w:proofErr w:type="spellEnd"/>
      <w:r>
        <w:t xml:space="preserve"> (Martin et al., 2023).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w:t>
      </w:r>
      <w:r>
        <w:lastRenderedPageBreak/>
        <w:t xml:space="preserve">span adverbials (Martin et al., 2023).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xml:space="preserve">, how typical the action is as a means of achieving that result. The two ratings approach the relation from the action and from the result, respectively: Blowing on a candle, for example, is both likely to put it </w:t>
      </w:r>
      <w:r>
        <w:lastRenderedPageBreak/>
        <w:t>out and a typical way of doing so, whereas waving at it is neither.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t>hǎojǐcì</w:t>
      </w:r>
      <w:proofErr w:type="spellEnd"/>
      <w:r w:rsidRPr="00DF4AE6">
        <w:t xml:space="preserve"> “several times” increased acceptance in all </w:t>
      </w:r>
      <w:r w:rsidRPr="00DF4AE6">
        <w:lastRenderedPageBreak/>
        <w:t xml:space="preserve">age groups. Children’s rejections also varied across verbs. In Chen’s (2017) study, </w:t>
      </w:r>
      <w:proofErr w:type="spellStart"/>
      <w:r w:rsidRPr="00DF4AE6">
        <w:t>guān</w:t>
      </w:r>
      <w:proofErr w:type="spellEnd"/>
      <w:r w:rsidRPr="00DF4AE6">
        <w:t xml:space="preserve"> “close” and </w:t>
      </w:r>
      <w:proofErr w:type="spellStart"/>
      <w:r w:rsidRPr="00DF4AE6">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lastRenderedPageBreak/>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t>méi</w:t>
      </w:r>
      <w:proofErr w:type="spellEnd"/>
      <w:r w:rsidRPr="005E64BA">
        <w:t xml:space="preserve"> </w:t>
      </w:r>
      <w:proofErr w:type="spellStart"/>
      <w:r w:rsidRPr="005E64BA">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lastRenderedPageBreak/>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weaker-association V1s, form the materials for the analyses of Experiment 1. The two remaining pairs, in which the typicality difference was reversed or neither difference was reliable, are excluded from these analyses (see Method).</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 two sets, particularly in zero-result events, and is this difference larger in children than in adults?</w:t>
      </w:r>
    </w:p>
    <w:p w14:paraId="455138B3" w14:textId="77777777" w:rsidR="0055310B" w:rsidRPr="0055310B" w:rsidRDefault="00000000" w:rsidP="0055310B">
      <w:r>
        <w:lastRenderedPageBreak/>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with a smaller difference in full-result events. This difference is expected to be larger in children than in adults: Adults accept V1 descriptions of zero-result events at high rates (Chen, 2017), whereas children’s stricter judgments leave room for the association to matter.</w:t>
      </w:r>
    </w:p>
    <w:p w14:paraId="57F90C35" w14:textId="77777777" w:rsidR="00C3541B" w:rsidRPr="00C3541B" w:rsidRDefault="00C3541B" w:rsidP="00C3541B">
      <w:r w:rsidRPr="00C3541B">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lastRenderedPageBreak/>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w:t>
      </w:r>
      <w:r>
        <w:lastRenderedPageBreak/>
        <w:t xml:space="preserve">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form two sets of 10: the expected stronger-association expressions and their expected weaker-association partners.</w:t>
      </w:r>
      <w:r w:rsidR="006B7B7E" w:rsidRPr="006B7B7E"/>
      <w:r w:rsidR="006B7B7E">
        <w:rPr>
          <w:rFonts w:eastAsiaTheme="minorEastAsia" w:hint="eastAsia"/>
        </w:rPr>
      </w:r>
      <w:r/>
      <w:r w:rsidR="006B7B7E">
        <w:rPr>
          <w:rFonts w:eastAsiaTheme="minorEastAsia" w:hint="eastAsia"/>
        </w:rPr>
      </w:r>
      <w:r/>
    </w:p>
    <w:p w14:paraId="2976E87D" w14:textId="08DDC6C5" w:rsidR="009D4CF3" w:rsidRDefault="00000000">
      <w:r>
        <w:t xml:space="preserve">When the materials were designed, the two sets were defined as Strong and Weak V1s, following Martin et al. (2020, 2023). On this classification, Strong V1s, such as </w:t>
      </w:r>
      <w:r>
        <w:rPr>
          <w:i/>
        </w:rPr>
        <w:t>xǐ</w:t>
      </w:r>
      <w:r>
        <w:t xml:space="preserve"> “wash,” strongly imply a change of state in the object, whereas Weak V1s, such as </w:t>
      </w:r>
      <w:r>
        <w:rPr>
          <w:i/>
        </w:rPr>
        <w:t>mō</w:t>
      </w:r>
      <w:r>
        <w:t xml:space="preserve"> “pet,” at best weakly imply one. The two classes are distinguished by a single diagnostic: Only Strong V1s are compatible with a preverbal time-span adverbial, as in </w:t>
      </w:r>
      <w:r>
        <w:rPr>
          <w:i/>
        </w:rPr>
        <w:t>yì fēnzhōng xǐ-le yì shuāng wàzi</w:t>
      </w:r>
      <w:r>
        <w:t xml:space="preserve"> “washed a pair of socks in one minute” versus </w:t>
      </w:r>
      <w:r>
        <w:rPr>
          <w:i/>
        </w:rPr>
        <w:t>*yì fēnzhōng mō-le yì zhī māo</w:t>
      </w:r>
      <w:r>
        <w:t xml:space="preserve"> “petted a cat in one minute.” Some V1s in the present materials were taken from Martin et al. (2020), and the others were selected with this diagnostic. 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V1s in the weaker set are also compatible with the adverbial when combined with a suitable object, as in </w:t>
      </w:r>
      <w:r>
        <w:rPr>
          <w:i/>
        </w:rPr>
        <w:t>yì fēnzhōng tuī-le yí ge xiāngzi</w:t>
      </w:r>
      <w:r>
        <w:t xml:space="preserve"> “pushed a box in one minute,” and the same holds for </w:t>
      </w:r>
      <w:r>
        <w:rPr>
          <w:i/>
        </w:rPr>
        <w:t>chōng</w:t>
      </w:r>
      <w:r>
        <w:t xml:space="preserve"> “rinse” and </w:t>
      </w:r>
      <w:r>
        <w:rPr>
          <w:i/>
        </w:rPr>
        <w:t>chuí</w:t>
      </w:r>
      <w:r>
        <w:t xml:space="preserve"> “hammer.” Third, the stronger set combined verbs that name an action directed at a specific result, such as </w:t>
      </w:r>
      <w:r>
        <w:rPr>
          <w:i/>
        </w:rPr>
        <w:t>bāo</w:t>
      </w:r>
      <w:r>
        <w:t xml:space="preserve"> “peel,” </w:t>
      </w:r>
      <w:r>
        <w:rPr>
          <w:i/>
        </w:rPr>
        <w:t>sī</w:t>
      </w:r>
      <w:r>
        <w:t xml:space="preserve"> “tear,” and </w:t>
      </w:r>
      <w:r>
        <w:rPr>
          <w:i/>
        </w:rPr>
        <w:t>cā</w:t>
      </w:r>
      <w:r>
        <w:t xml:space="preserve"> “wipe,” with verbs that name a manner of action compatible with many results, such as </w:t>
      </w:r>
      <w:r>
        <w:rPr>
          <w:i/>
        </w:rPr>
        <w:t>tī</w:t>
      </w:r>
      <w:r>
        <w:t xml:space="preserve"> “kick” and </w:t>
      </w:r>
      <w:r>
        <w:rPr>
          <w:i/>
        </w:rPr>
        <w:t>chuī</w:t>
      </w:r>
      <w: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 described below. The labels </w:t>
      </w:r>
      <w:r>
        <w:rPr>
          <w:i/>
        </w:rPr>
        <w:t>stronger-association</w:t>
      </w:r>
      <w:r>
        <w:t xml:space="preserve"> and </w:t>
      </w:r>
      <w:r>
        <w:rPr>
          <w:i/>
        </w:rPr>
        <w:t>weaker-association</w:t>
      </w:r>
      <w:r>
        <w:t xml:space="preserve">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hint="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t>4</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pò</w:t>
            </w:r>
            <w:r>
              <w:br/>
              <w:t>“torn”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sī-pò</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2,350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zhuài</w:t>
            </w:r>
            <w:r>
              <w:br/>
              <w:t>“pull”</w:t>
            </w:r>
          </w:p>
        </w:tc>
        <w:tc>
          <w:tcPr>
            <w:tcW w:w="1368" w:type="dxa"/>
          </w:tcPr>
          <w:p w14:paraId="06139747" w14:textId="77777777" w:rsidR="009D4CF3" w:rsidRDefault="00000000">
            <w:pPr>
              <w:pStyle w:val="TableText"/>
              <w:keepNext/>
            </w:pPr>
            <w:r>
              <w:rPr>
                <w:i/>
              </w:rPr>
              <w:t>zhuài-pò</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2</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lastRenderedPageBreak/>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suì</w:t>
            </w:r>
            <w:r>
              <w:br/>
              <w:t>“broken”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jiā-suì</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48</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chuí-suì</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13</w:t>
            </w:r>
          </w:p>
        </w:tc>
      </w:tr>
    </w:tbl>
    <w:p w14:paraId="461146B5" w14:textId="764D5272" w:rsidR="009D4CF3" w:rsidRPr="0055050F" w:rsidRDefault="00000000">
      <w:pPr>
        <w:pStyle w:val="TableNote"/>
        <w:rPr>
          <w:rFonts w:eastAsiaTheme="minorEastAsia" w:hint="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set labels follow the original design. ᵇ Mostly figurative uses. ᶜ Includes many abstract uses.</w:t>
      </w:r>
    </w:p>
    <w:p w14:paraId="1FD25982" w14:textId="3047BDFB" w:rsidR="009D4CF3" w:rsidRPr="0055050F" w:rsidRDefault="00000000">
      <w:pPr>
        <w:rPr>
          <w:rFonts w:eastAsiaTheme="minorEastAsia" w:hint="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 </w:t>
      </w:r>
      <w:r>
        <w:rPr>
          <w:highlight w:val="yellow"/>
        </w:rPr>
        <w:t xml:space="preserve">⟦Figure 1：full-result 与 zero-result </w:t>
      </w:r>
      <w:proofErr w:type="spellStart"/>
      <w:r>
        <w:rPr>
          <w:highlight w:val="yellow"/>
        </w:rPr>
        <w:t>视频的截图</w:t>
      </w:r>
      <w:proofErr w:type="spellEnd"/>
      <w:r>
        <w:rPr>
          <w:highlight w:val="yellow"/>
        </w:rPr>
        <w:t>⟧</w:t>
      </w:r>
    </w:p>
    <w:p w14:paraId="63C09C34" w14:textId="77777777" w:rsidR="009D4CF3" w:rsidRDefault="00000000">
      <w:pPr>
        <w:pStyle w:val="Heading2"/>
      </w:pPr>
      <w:r>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the 10 videos of one set and described each in a full sentence. If the intended V1 did not appear, the participant was asked for </w:t>
      </w:r>
      <w:r>
        <w:lastRenderedPageBreak/>
        <w:t xml:space="preserve">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 </w:t>
      </w:r>
      <w:r>
        <w:rPr>
          <w:highlight w:val="yellow"/>
        </w:rPr>
        <w:t>⟦逐项数值放附录⟧</w:t>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hint="eastAsia"/>
        </w:rPr>
      </w:pPr>
      <w:r>
        <w:t xml:space="preserve">Twenty native speakers of Mandarin (21–35 years, </w:t>
      </w:r>
      <w:r>
        <w:rPr>
          <w:i/>
        </w:rPr>
        <w:t>M</w:t>
      </w:r>
      <w:r>
        <w:t xml:space="preserve"> = 28.2) </w:t>
      </w:r>
      <w:r>
        <w:rPr>
          <w:highlight w:val="yellow"/>
        </w:rPr>
        <w:t>⟦性别与招募方式待补⟧</w:t>
      </w:r>
      <w:r>
        <w:t xml:space="preserve"> completed an online questionnaire of about 5 min, in which they rated each of the 20 V1–object expressions in two separate blocks. After a consent statement and questions about their language background (native language, frequency of Mandarin use, and English proficiency), they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Xiǎo Lǐ sī-le zhǐ</w:t>
      </w:r>
      <w:r>
        <w:t xml:space="preserve"> “Xiao Li tore the paper. How likely do you think it is that the paper ended up torn?” The instructions asked participants to judge, on the basis of the sentence and their everyday experience, how likely it was that the stated result eventually occurred. They typed a number from 0 to 100, where 0 was labeled </w:t>
      </w:r>
      <w:r>
        <w:rPr>
          <w:i/>
        </w:rPr>
        <w:t>cannot happen</w:t>
      </w:r>
      <w:r>
        <w:t xml:space="preserve"> and 100 </w:t>
      </w:r>
      <w:r>
        <w:rPr>
          <w:i/>
        </w:rPr>
        <w:t>will certainly happen</w:t>
      </w:r>
      <w:r>
        <w:t xml:space="preserve">. In the typicality block, the instructions stated that each item first named a result that someone wanted to achieve and then an action that could be used to achieve it, and asked participants to rate how typical the action was as a way of achieving that result, for example, “Suppose Xiao Li wants to break the walnut. How typical is </w:t>
      </w:r>
      <w:r>
        <w:rPr>
          <w:i/>
        </w:rPr>
        <w:t>jiā hétao</w:t>
      </w:r>
      <w:r>
        <w:t xml:space="preserve"> ‘clamping the walnut’ as a way of doing this?” Responses were given on a 7-point scale whose endpoints were labeled 1 (</w:t>
      </w:r>
      <w:r>
        <w:rPr>
          <w:i/>
        </w:rPr>
        <w:t>very atypical</w:t>
      </w:r>
      <w:r>
        <w:t>) and 7 (</w:t>
      </w:r>
      <w:r>
        <w:rPr>
          <w:i/>
        </w:rPr>
        <w:t>very typical</w:t>
      </w:r>
      <w:r>
        <w:t>); the intermediate points were numbered but not labeled. The likelihood items thus presented each expression in the same perfective form as the V1 questions of Experiment 1. Because the ratings were collected for sentences naming the expressions, they characterize the action–result relation that each expression describes, not the particular videos.</w:t>
      </w:r>
    </w:p>
    <w:p w14:paraId="63AAE06B" w14:textId="2B606D43" w:rsidR="009D4CF3" w:rsidRPr="00C77721" w:rsidRDefault="00000000">
      <w:pPr>
        <w:rPr>
          <w:rFonts w:eastAsiaTheme="minorEastAsia" w:hint="eastAsia"/>
        </w:rPr>
      </w:pPr>
      <w:r>
        <w:t>Four lists were constructed, and five raters completed each list. In all lists, the 20 likelihood items preceded the 20 typicality items. Within each block, the 10 expressions of one set were presented first and the 10 expressions of the other set second, with the pairs in the same order in both halves, so that the two members of each pair were always separated by nine other items. The stronger-association set came first in Lists 1 and 3, and the weaker-association set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w:t>
      </w:r>
      <w:r>
        <w:lastRenderedPageBreak/>
        <w:t xml:space="preserve">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14:paraId="4A4868EC" w14:textId="77777777" w:rsidR="009D4CF3" w:rsidRDefault="00000000">
      <w:pPr>
        <w:pStyle w:val="Heading2"/>
      </w:pPr>
      <w:r>
        <w:t>Pair Selection</w:t>
      </w:r>
    </w:p>
    <w:p w14:paraId="56EE0139" w14:textId="77777777" w:rsidR="009D4CF3" w:rsidRDefault="00000000">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assigned to the two sets. The two pairs remained in the experimental lists, so all participants saw all 10 pairs, but their trials are excluded from the analyses of Experiment 1. The original design included all 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w:t>
      </w:r>
      <w:r>
        <w:lastRenderedPageBreak/>
        <w:t>steps followed an inspection of the child data, analyses with all 10 pairs are reported alongside the main analyses of Experiment 1 (see Sensitivity Analyses).</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t xml:space="preserve">We also examined how conventional each RVC is, for two reasons. First, as noted in the Introduction, V1–V2 combinations differ in how conventional they are, and an action that reliably brings about a result is likely to be described often with the corresponding RVC; corpus frequency thus characterizes the pairs independently of the adult ratings. Second, children may be more familiar with the RVCs formed with stronger-association V1s, and familiarity with an RVC could itself affect how they interpret the corresponding V1 (see General Discussion). We therefore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(e.g., </w:t>
      </w:r>
      <w:r>
        <w:rPr>
          <w:i/>
        </w:rPr>
        <w:t>sī-pò liǎn</w:t>
      </w:r>
      <w:r>
        <w:t xml:space="preserve"> “tear-torn face,” “fall out with someone”)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14:paraId="70289CD3" w14:textId="77777777" w:rsidR="009D4CF3" w:rsidRDefault="00000000">
      <w:r>
        <w:lastRenderedPageBreak/>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(14 female; </w:t>
      </w:r>
      <w:r>
        <w:rPr>
          <w:highlight w:val="yellow"/>
        </w:rPr>
        <w:t>⟦age range in y;m, M⟧</w:t>
      </w:r>
      <w:r>
        <w:t xml:space="preserve">), 32 five-year-olds (15 female; </w:t>
      </w:r>
      <w:r>
        <w:rPr>
          <w:highlight w:val="yellow"/>
        </w:rPr>
        <w:t>⟦age range in y;m, M⟧</w:t>
      </w:r>
      <w:r>
        <w:t xml:space="preserve">), and 40 adults (18 female; 18.3–37.2 years, </w:t>
      </w:r>
      <w:r>
        <w:rPr>
          <w:i/>
        </w:rPr>
        <w:t>M</w:t>
      </w:r>
      <w:r>
        <w:t xml:space="preserve"> = 23.1).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w:t>
      </w:r>
      <w:r>
        <w:lastRenderedPageBreak/>
        <w:t>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77777777" w:rsidR="009D4CF3" w:rsidRDefault="00000000">
      <w:r>
        <w:t>Form (RVC vs. V1) and set (stronger vs. weaker association) were manipulated between participants, and result realization (full vs. zero) within participants. Eight lists crossed four event lists with the two forms. Each event list contained one action from each of the 10 pairs, all from the same set, with five videos in their full-result and five in their zero-result version; across the two event lists for each set,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each set were judged by eight children per age group and 10 adults, and each V1 description in a given result condition by about four children per age group. Comparisons between the two sets are therefore largely between participants, and item-level estimates are imprecise.</w:t>
      </w:r>
    </w:p>
    <w:p w14:paraId="56804D9F" w14:textId="77777777" w:rsidR="009D4CF3" w:rsidRDefault="00000000">
      <w:pPr>
        <w:pStyle w:val="Heading3"/>
      </w:pPr>
      <w:r>
        <w:lastRenderedPageBreak/>
        <w:t>Procedure</w:t>
      </w:r>
    </w:p>
    <w:p w14:paraId="132EAC99" w14:textId="77777777" w:rsidR="009D4CF3" w:rsidRDefault="00000000">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77777777" w:rsidR="009D4CF3" w:rsidRDefault="00000000">
      <w:pPr>
        <w:pStyle w:val="Heading3"/>
      </w:pPr>
      <w:r>
        <w:t>RVC and V1 Descriptions</w:t>
      </w:r>
    </w:p>
    <w:p w14:paraId="30F5A172" w14:textId="77777777" w:rsidR="009D4CF3" w:rsidRDefault="00000000">
      <w:r>
        <w:t xml:space="preserve">The first model addresses RQ1. It includes form (RVC vs. V1), result realization (full vs. zero), age group (4-year-olds, 5-year-olds, adults), and their interactions; V1 trials from the two sets are pooled. Random effects are intercepts for participants, items (a V1–object expression </w:t>
      </w:r>
      <w:r>
        <w:lastRenderedPageBreak/>
        <w:t>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The second model addresses RQ2 and uses V1 trials only. It includes set (stronger vs. weaker association), result realization, age group, and their interactions. Random effects are intercepts for participants, items, and pairs; a by-participant slope for result realization; by-item slopes for result realization and age group; and a by-pair slope for set, which allows the difference between the two V1s of a pair to vary across pairs. The focal estimates are (a) the difference between sets in zero-result events in each age group; (b) the Set × Result Realization interaction, which assesses whether this difference is larger in zero-result than in full-result events; and (c) the difference between children and adults in the zero-result difference between sets. Because adult acceptance in zero-result events may approach ceiling, the child–adult comparison is evaluated on the log-odds scale, and predicted probabilities are reported alongside.</w:t>
      </w:r>
    </w:p>
    <w:p w14:paraId="2F78B3F5" w14:textId="77777777" w:rsidR="009D4CF3" w:rsidRDefault="00000000">
      <w:pPr>
        <w:pStyle w:val="Heading3"/>
      </w:pPr>
      <w:r>
        <w:t>Sensitivity Analyses</w:t>
      </w:r>
    </w:p>
    <w:p w14:paraId="449C9658" w14:textId="77777777" w:rsidR="009D4CF3" w:rsidRDefault="00000000">
      <w:r>
        <w:t xml:space="preserve">Three analyses assess whether the conclusions depend on the materials: (a) refitting both models with all 10 pairs, with the actions of Pairs 7 and 8 assigned to sets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w:t>
      </w:r>
      <w:r>
        <w:lastRenderedPageBreak/>
        <w:t>results, and any conclusion that differs between the eight-pair and 10-pair analyses is stated. Frequentist refits are reported where they converge. These analyses are not used to select a preferred subset of items. Acceptance of each V1 and RVC description is also reported by result realization and age group, to show whether a difference between sets is carried by most pairs or by a few.</w:t>
      </w:r>
    </w:p>
    <w:p w14:paraId="46408DBA" w14:textId="77777777" w:rsidR="009D4CF3" w:rsidRDefault="00000000">
      <w:pPr>
        <w:pStyle w:val="Heading2"/>
      </w:pPr>
      <w:r>
        <w:t>Results</w:t>
      </w:r>
    </w:p>
    <w:p w14:paraId="3589F7A8" w14:textId="77777777" w:rsidR="009D4CF3" w:rsidRDefault="00000000">
      <w:r>
        <w:t>Accuracy on filler trials was 100% for adults, 97% for 4-year-olds, and 95% for 5-year-olds, and no participant was excluded. The data comprise 1,040 critical responses, of which 832 belong to the eight retained pairs (416 RVC and 416 V1 trials).</w:t>
      </w:r>
    </w:p>
    <w:p w14:paraId="08EEAEC4" w14:textId="77777777" w:rsidR="009D4CF3" w:rsidRDefault="00000000">
      <w:r>
        <w:rPr>
          <w:highlight w:val="yellow"/>
        </w:rPr>
        <w:t>⟦待补：按八对、两组方案重新分析后报告。0507 稿的结果基于全部 10 对和 Strong/Weak 编码，不能直接沿用。⟧</w:t>
      </w:r>
    </w:p>
    <w:p w14:paraId="47B35AA9" w14:textId="77777777" w:rsidR="009D4CF3" w:rsidRDefault="00000000">
      <w:pPr>
        <w:pStyle w:val="Heading1"/>
      </w:pPr>
      <w:r>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(14 female; </w:t>
      </w:r>
      <w:r>
        <w:rPr>
          <w:highlight w:val="yellow"/>
        </w:rPr>
        <w:t>⟦age range in y;m, M⟧</w:t>
      </w:r>
      <w:r>
        <w:t xml:space="preserve">), 32 five-year-olds (18 female; </w:t>
      </w:r>
      <w:r>
        <w:rPr>
          <w:highlight w:val="yellow"/>
        </w:rPr>
        <w:t>⟦age range in y;m, M⟧</w:t>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the 10 actions of one set,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t>
      </w:r>
      <w:r>
        <w:lastRenderedPageBreak/>
        <w:t xml:space="preserve">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14:paraId="274AAEA5" w14:textId="77777777" w:rsidR="009D4CF3" w:rsidRDefault="00000000">
      <w:r>
        <w:t xml:space="preserve">All 10 pairs are included in the analyses of Experiment 2, because these analyses compare result conditions and do not require the actions to be assigned to sets. Analyses restricted to the eight retained pairs are reported as a sensitivity check. </w:t>
      </w:r>
      <w:r>
        <w:rPr>
          <w:highlight w:val="yellow"/>
        </w:rPr>
        <w:t>⟦请确认 Exp 2 用全部 10 对⟧</w:t>
      </w:r>
    </w:p>
    <w:p w14:paraId="771AA536" w14:textId="77777777" w:rsidR="009D4CF3" w:rsidRDefault="00000000">
      <w:pPr>
        <w:pStyle w:val="Heading3"/>
      </w:pPr>
      <w:r>
        <w:t>Coding</w:t>
      </w:r>
    </w:p>
    <w:p w14:paraId="54410E70" w14:textId="77777777" w:rsidR="009D4CF3" w:rsidRDefault="00000000">
      <w:r>
        <w:t xml:space="preserve">The coding unit is the complete response to a video, including information expressed across clauses. Responses were recoded from the transcripts for the present analyses. </w:t>
      </w:r>
      <w:r>
        <w:rPr>
          <w:highlight w:val="yellow"/>
        </w:rPr>
        <w:t>⟦第二名编码员及一致性待补⟧</w:t>
      </w:r>
      <w:r>
        <w:t xml:space="preserve"> Nonresponses and responses without a verb are excluded and reported.</w:t>
      </w:r>
    </w:p>
    <w:p w14:paraId="5ED3C869" w14:textId="77777777" w:rsidR="009D4CF3" w:rsidRDefault="00000000">
      <w:r>
        <w:rPr>
          <w:b/>
        </w:rPr>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77777777" w:rsidR="009D4CF3" w:rsidRDefault="00000000">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w:t>
      </w:r>
      <w:r>
        <w:lastRenderedPageBreak/>
        <w:t xml:space="preserve">explicitly expressed information is coded: A </w:t>
      </w:r>
      <w:r>
        <w:rPr>
          <w:i/>
        </w:rPr>
        <w:t>bǎ</w:t>
      </w:r>
      <w:r>
        <w:t xml:space="preserve"> construction with a monomorphemic verb (e.g., </w:t>
      </w:r>
      <w:r>
        <w:rPr>
          <w:i/>
        </w:rPr>
        <w:t>bǎ làzhú chuī-le</w:t>
      </w:r>
      <w:r>
        <w:t xml:space="preserve"> “BA candle blow-PERF”) is coded as mentioning the action only. </w:t>
      </w:r>
      <w:r>
        <w:rPr>
          <w:highlight w:val="yellow"/>
        </w:rPr>
        <w:t>⟦注意：0507 稿把 bǎ 句中的谓语一律编为 RVC，这里改了⟧</w:t>
      </w:r>
      <w:r>
        <w:t xml:space="preserve"> Whether a mentioned result is affirmed or denied is recorded, so that responses affirming the target result in a zero-result event can be identified.</w:t>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 xml:space="preserve">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and modeled if cell sizes permit. </w:t>
      </w:r>
      <w:r>
        <w:rPr>
          <w:highlight w:val="yellow"/>
        </w:rPr>
        <w:t>⟦待定：多分类模型还是仅描述⟧</w:t>
      </w:r>
      <w:r>
        <w:t xml:space="preserve"> Responses that affirm the target result in zero-result events are counted by age group. The adult ratings are not used in these analyses.</w:t>
      </w:r>
    </w:p>
    <w:p w14:paraId="3898C00B" w14:textId="77777777" w:rsidR="009D4CF3" w:rsidRDefault="00000000">
      <w:pPr>
        <w:pStyle w:val="Heading2"/>
      </w:pPr>
      <w:r>
        <w:lastRenderedPageBreak/>
        <w:t>Results</w:t>
      </w:r>
    </w:p>
    <w:p w14:paraId="570C2E60" w14:textId="77777777" w:rsidR="009D4CF3" w:rsidRDefault="00000000">
      <w:r>
        <w:rPr>
          <w:highlight w:val="yellow"/>
        </w:rPr>
        <w:t>⟦待补：按新的编码方案（完整回答为单位）重新编码并分析后报告。⟧</w:t>
      </w:r>
    </w:p>
    <w:p w14:paraId="095C048D" w14:textId="77777777" w:rsidR="009D4CF3" w:rsidRDefault="00000000">
      <w:pPr>
        <w:pStyle w:val="Heading1"/>
      </w:pPr>
      <w:r>
        <w:t>General Discussion</w:t>
      </w:r>
    </w:p>
    <w:p w14:paraId="2A274960" w14:textId="77777777" w:rsidR="009D4CF3" w:rsidRDefault="00000000">
      <w:r>
        <w:rPr>
          <w:highlight w:val="yellow"/>
        </w:rPr>
        <w:t>⟦本节为计划稿，将根据结果修改。⟧</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0C5F8170" w14:textId="77777777" w:rsidR="009D4CF3" w:rsidRDefault="00000000">
      <w:pPr>
        <w:pStyle w:val="Heading2"/>
      </w:pPr>
      <w:r>
        <w:t>RVC and V1 Descriptions</w:t>
      </w:r>
    </w:p>
    <w:p w14:paraId="46F550EC" w14:textId="77777777" w:rsidR="009D4CF3" w:rsidRDefault="00000000">
      <w:r>
        <w:t>A larger effect of result realization on RVC than on V1 descriptions would show that children treat a result expressed by V2 differently from a result that is only associated with the action named by V1. Previous studies have shown this distinction in 5-year-olds (J. Liu et al., 2026) and in a small group of children around 4;6 (Chen, 2017). If 4-year-olds show the same interaction as 5-year-olds, the distinction is in place by 4 years of age for the events tested here; if the interaction is weaker in 4-year-olds, it continues to develop between 4 and 5. In either case, the conclusion concerns the selected RVCs and events, not RVC semantics or telicity in general. A smaller difference between the two forms in children than in adults would replicate the finding that children judge V1 descriptions of events without the result more strictly than adults do (Chen, 2017; J. Liu et al., 2026).</w:t>
      </w:r>
    </w:p>
    <w:p w14:paraId="4C2E4028" w14:textId="77777777" w:rsidR="009D4CF3" w:rsidRDefault="00000000">
      <w:pPr>
        <w:pStyle w:val="Heading2"/>
      </w:pPr>
      <w:r>
        <w:lastRenderedPageBreak/>
        <w:t>Action–Result Association and V1 Descriptions</w:t>
      </w:r>
    </w:p>
    <w:p w14:paraId="256010E1" w14:textId="77777777" w:rsidR="009D4CF3" w:rsidRDefault="00000000">
      <w:r>
        <w:t>If children reject V1 descriptions of zero-result events more often when the V1 names an action strongly associated with the target result, their stricter judgments are not uniform across V1s but vary with the relation between the depicted action and the result. Chen (2017) found differences among V1s, but each V1 was presented with a different object and result. Because the present design holds the object and the target result constant within pairs, a difference between sets cannot be attributed to differences between objects or results. It would show that, for children, what a V1 description conveys about a result depends on how the named action relates to that result. A difference between sets in adults would show the same for mature interpretation, consistent with the cline in adults’ acceptance of result cancellation (Chen, 2018) and with evidence that comprehenders’ expectations about events depend on the combination of a verb with its arguments (Bicknell et al., 2010; McRae &amp; Matsuki, 2009).</w:t>
      </w:r>
    </w:p>
    <w:p w14:paraId="7174531D" w14:textId="77777777" w:rsidR="009D4CF3" w:rsidRDefault="00000000">
      <w:r>
        <w:t xml:space="preserve">Why action–result association might matter is not settled by previous work. Accounts of monomorphemic verbs hold that a verb can imply a result without entailing it and that the strength of the implication varies, whether across verbs (Chen, 2018) or across fulfillment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w:t>
      </w:r>
      <w:r>
        <w:lastRenderedPageBreak/>
        <w:t>2021), a failed attempt at a typical means may make a V1 description less acceptable. The two dimensions usually go together but need not coincide (Kim &amp; Murphy, 2011). These possibilities are offered as interpretations of a difference between sets, not as hypotheses the study was designed to test.</w:t>
      </w:r>
    </w:p>
    <w:p w14:paraId="16A57566" w14:textId="77777777" w:rsidR="009D4CF3" w:rsidRDefault="00000000">
      <w:r>
        <w:t>A larger difference between sets in children than in adults would locate children’s stricter judgments mainly in V1s that name strongly associated actions. This pattern is compatible with three explanations that the binary task cannot separate: Children may find it harder than adults to set aside an inference that the result occurred, may reject a true description as inadequate because it leaves an expected result unaddressed, or may judge a failed attempt to be a poor instance of the action. The pragmatic explanation fits less naturally with a larger difference in children, because children tend to be more tolerant than adults of underinformative descriptions in binary judgment tasks (Katsos &amp; Bishop, 2011). Because adult acceptance in zero-result events may approach ceiling, however, a larger child difference on the probability scale could partly reflect the adult ceiling, which is why the comparison is evaluated on the log-odds scale.</w:t>
      </w:r>
    </w:p>
    <w:p w14:paraId="64959941" w14:textId="77777777" w:rsidR="009D4CF3" w:rsidRDefault="00000000">
      <w:r>
        <w:t xml:space="preserve">Because the stronger- and weaker-association expressions differ in both rated likelihood and rated typicality, the study cannot determine which dimension, or what the two share, underlies a difference between sets; the two ratings diverged only in Pair 7, which was excluded. The difference between sets also goes together with a difference in the conventionality of the corresponding RVCs. A child who often hears </w:t>
      </w:r>
      <w:r>
        <w:rPr>
          <w:i/>
        </w:rPr>
        <w:t>chuī-miè</w:t>
      </w:r>
      <w:r>
        <w:t xml:space="preserve"> “blow-extinguished” may come to expect a candle to go out after </w:t>
      </w:r>
      <w:r>
        <w:rPr>
          <w:i/>
        </w:rPr>
        <w:t>chuī</w:t>
      </w:r>
      <w:r>
        <w:t xml:space="preserve"> “blow,” so familiarity with the RVC offers an alternative account of a difference between sets. This account is not incompatible with the association account, because an action that reliably brings about a result is also likely to be described often with the corresponding RVC, but the present materials cannot separate the two.</w:t>
      </w:r>
    </w:p>
    <w:p w14:paraId="5A252C3A" w14:textId="77777777" w:rsidR="009D4CF3" w:rsidRDefault="00000000">
      <w:pPr>
        <w:pStyle w:val="Heading2"/>
      </w:pPr>
      <w:r>
        <w:lastRenderedPageBreak/>
        <w:t>Form and Information in Production</w:t>
      </w:r>
    </w:p>
    <w:p w14:paraId="5F1E9033" w14:textId="77777777" w:rsidR="009D4CF3" w:rsidRDefault="00000000">
      <w:r>
        <w:t xml:space="preserve">Comparing RVC use with mention of the target result separates the forms children use from the information they express. If both decline in zero-result events, speakers describing a failed attempt tend to leave the result unmentioned rather than express it in another form. If children mention the result without an RVC more often than adults, for example by naming the result alone or in a separate predicate, their lower RVC use reflects how they package the information rather than less attention to the result. In either case, RVC frequency alone cannot show whether children encode a result. Mentions of the result in zero-result events, typically negated as in </w:t>
      </w:r>
      <w:r>
        <w:rPr>
          <w:i/>
        </w:rPr>
        <w:t>méi bāo-kāi</w:t>
      </w:r>
      <w:r>
        <w:t xml:space="preserve"> “did not peel open,” indicate that the speaker treated the absent result as relevant to the event, and responses that affirm the target result in a zero-result event would indicate that a speaker described an unattained result as attained. Because the two experiments tested independent samples, links between comprehension and production hold at the group level only.</w:t>
      </w:r>
    </w:p>
    <w:p w14:paraId="328EDA48" w14:textId="77777777" w:rsidR="009D4CF3" w:rsidRDefault="00000000">
      <w:pPr>
        <w:pStyle w:val="Heading2"/>
      </w:pPr>
      <w:r>
        <w:t>Limitations and Future Directions</w:t>
      </w:r>
    </w:p>
    <w:p w14:paraId="2D58C942" w14:textId="77777777" w:rsidR="009D4CF3" w:rsidRDefault="00000000">
      <w:r>
        <w:t xml:space="preserve">Several limitations follow from the design.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tī</w:t>
      </w:r>
      <w: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t>
      </w:r>
      <w:r>
        <w:lastRenderedPageBreak/>
        <w:t>sets assigned between participants, each difference between sets rests on few items and small groups, and item-level estimates are descriptive; in addition, the ratings were collected and two pairs excluded after an initial analysis of the same children’s data, so the eight-pair results should be read together with the 10-pair analyses, and a difference between sets needs to be replicated with a new sample of children. Fifth, the ratings describe expressions rather than videos, and the videos did not always elicit the intended V1.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77777777" w:rsidR="009D4CF3" w:rsidRDefault="00000000">
      <w:r>
        <w:t xml:space="preserve">This study examines how Mandarin-speaking 4- and 5-year-olds interpret and describe events in which an action does or does not bring about a target result. Comparing RVC and V1 descriptions tests whether children distinguish a result expressed by V2 from one that is only associated with the action named by V1. Comparing V1s that name actions on the same object, but differ in how strongly those actions are associated with the same result, tests whether children’s interpretation of V1 descriptions varies with the relation between the action and the result rather than with the verb alone. Comparing RVC use with mention of the result in production asks whether children who use fewer RVCs also leave the result unexpressed. </w:t>
      </w:r>
      <w:r>
        <w:rPr>
          <w:highlight w:val="yellow"/>
        </w:rPr>
        <w:t>⟦结论待根据结果改写⟧</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 xml:space="preserve">(2), 191–222. https://doi.org/10.1017/cnj.2021.11 </w:t>
      </w:r>
      <w:r>
        <w:rPr>
          <w:highlight w:val="yellow"/>
        </w:rPr>
        <w:t>⟦</w:t>
      </w:r>
      <w:proofErr w:type="spellStart"/>
      <w:r>
        <w:rPr>
          <w:highlight w:val="yellow"/>
        </w:rPr>
        <w:t>待核：页码</w:t>
      </w:r>
      <w:proofErr w:type="spellEnd"/>
      <w:r>
        <w:rPr>
          <w:highlight w:val="yellow"/>
        </w:rPr>
        <w:t>⟧</w:t>
      </w:r>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 </w:t>
      </w:r>
      <w:r>
        <w:rPr>
          <w:highlight w:val="yellow"/>
        </w:rPr>
        <w:t>⟦</w:t>
      </w:r>
      <w:proofErr w:type="spellStart"/>
      <w:r>
        <w:rPr>
          <w:highlight w:val="yellow"/>
        </w:rPr>
        <w:t>待核：题名与链接</w:t>
      </w:r>
      <w:proofErr w:type="spellEnd"/>
      <w:r>
        <w:rPr>
          <w:highlight w:val="yellow"/>
        </w:rPr>
        <w:t>⟧</w:t>
      </w:r>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w:t>
      </w:r>
      <w:proofErr w:type="spellEnd"/>
      <w:r>
        <w:t xml:space="preserve">, H. (2023).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xml:space="preserve">. Universität Tübingen. </w:t>
      </w:r>
      <w:r>
        <w:rPr>
          <w:highlight w:val="yellow"/>
        </w:rPr>
        <w:t>⟦</w:t>
      </w:r>
      <w:proofErr w:type="spellStart"/>
      <w:r>
        <w:rPr>
          <w:highlight w:val="yellow"/>
        </w:rPr>
        <w:t>待核：页码与链接</w:t>
      </w:r>
      <w:proofErr w:type="spellEnd"/>
      <w:r>
        <w:rPr>
          <w:highlight w:val="yellow"/>
        </w:rPr>
        <w:t>⟧</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t xml:space="preserve">R Core Team. (2024). </w:t>
      </w:r>
      <w:r>
        <w:rPr>
          <w:i/>
        </w:rPr>
        <w:t>R: A language and environment for statistical computing</w:t>
      </w:r>
      <w:r>
        <w:t>. R Foundation for Statistical Computing. https://www.R-project.org/</w:t>
      </w:r>
    </w:p>
    <w:p w14:paraId="1EE64877" w14:textId="77777777" w:rsidR="008215DC" w:rsidRDefault="00000000">
      <w:pPr>
        <w:pStyle w:val="Reference"/>
      </w:pPr>
      <w:proofErr w:type="spellStart"/>
      <w:r>
        <w:lastRenderedPageBreak/>
        <w:t>Skordos</w:t>
      </w:r>
      <w:proofErr w:type="spellEnd"/>
      <w:r>
        <w:t xml:space="preserve">, D., &amp; </w:t>
      </w:r>
      <w:proofErr w:type="spellStart"/>
      <w:r>
        <w:t>Papafragou</w:t>
      </w:r>
      <w:proofErr w:type="spellEnd"/>
      <w:r>
        <w:t xml:space="preserve">, A. (2016). Children’s derivation of scalar implicatures: Alternatives and relevance. </w:t>
      </w:r>
      <w:r>
        <w:rPr>
          <w:i/>
          <w:iCs/>
        </w:rPr>
        <w:t>Cognition, 153</w:t>
      </w:r>
      <w:r>
        <w:t xml:space="preserve">, 6–18. https://doi.org/10.1016/j.cognition.2016.04.006 </w:t>
      </w:r>
      <w:r>
        <w:rPr>
          <w:highlight w:val="yellow"/>
        </w:rPr>
        <w:t>⟦</w:t>
      </w:r>
      <w:proofErr w:type="spellStart"/>
      <w:r>
        <w:rPr>
          <w:highlight w:val="yellow"/>
        </w:rPr>
        <w:t>待核：DOI</w:t>
      </w:r>
      <w:proofErr w:type="spellEnd"/>
      <w:r>
        <w:rPr>
          <w:highlight w:val="yellow"/>
        </w:rPr>
        <w:t>⟧</w:t>
      </w:r>
    </w:p>
    <w:p w14:paraId="0376CB4F" w14:textId="77777777" w:rsidR="009D4CF3" w:rsidRDefault="00000000">
      <w:pPr>
        <w:pStyle w:val="Reference"/>
      </w:pPr>
      <w:r>
        <w:t xml:space="preserve">Speer, R. (2022). </w:t>
      </w:r>
      <w:r>
        <w:rPr>
          <w:i/>
        </w:rPr>
        <w:t>wordfreq</w:t>
      </w:r>
      <w:r>
        <w:t xml:space="preserve"> (Version 3.0) [Computer software]. Zenodo. https://doi.org/10.5281/zenodo.7199437 </w:t>
      </w:r>
      <w:r>
        <w:rPr>
          <w:highlight w:val="yellow"/>
        </w:rPr>
        <w:t>⟦待核：所用版本为 3.1.1；DOI⟧</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 </w:t>
      </w:r>
      <w:r>
        <w:rPr>
          <w:highlight w:val="yellow"/>
        </w:rPr>
        <w:t>⟦</w:t>
      </w:r>
      <w:proofErr w:type="spellStart"/>
      <w:r>
        <w:rPr>
          <w:highlight w:val="yellow"/>
        </w:rPr>
        <w:t>待核：题名</w:t>
      </w:r>
      <w:proofErr w:type="spellEnd"/>
      <w:r>
        <w:rPr>
          <w:highlight w:val="yellow"/>
        </w:rPr>
        <w:t xml:space="preserve"> time/times⟧</w:t>
      </w:r>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 xml:space="preserve">(1), 71–86. </w:t>
      </w:r>
      <w:r>
        <w:rPr>
          <w:highlight w:val="yellow"/>
        </w:rPr>
        <w:t>⟦待核：作者、题名与卷期⟧</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0AEBD" w14:textId="77777777" w:rsidR="00621C6F" w:rsidRDefault="00621C6F">
      <w:r>
        <w:separator/>
      </w:r>
    </w:p>
  </w:endnote>
  <w:endnote w:type="continuationSeparator" w:id="0">
    <w:p w14:paraId="358EE5DE" w14:textId="77777777" w:rsidR="00621C6F" w:rsidRDefault="00621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E147" w14:textId="77777777" w:rsidR="00621C6F" w:rsidRDefault="00621C6F">
      <w:r>
        <w:separator/>
      </w:r>
    </w:p>
  </w:footnote>
  <w:footnote w:type="continuationSeparator" w:id="0">
    <w:p w14:paraId="270A258F" w14:textId="77777777" w:rsidR="00621C6F" w:rsidRDefault="00621C6F">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197B71"/>
    <w:rsid w:val="003B797C"/>
    <w:rsid w:val="00447DD2"/>
    <w:rsid w:val="00477123"/>
    <w:rsid w:val="004B1F49"/>
    <w:rsid w:val="0055050F"/>
    <w:rsid w:val="0055310B"/>
    <w:rsid w:val="005B1EF1"/>
    <w:rsid w:val="005E64BA"/>
    <w:rsid w:val="005F1988"/>
    <w:rsid w:val="00621C6F"/>
    <w:rsid w:val="006B7B7E"/>
    <w:rsid w:val="00706240"/>
    <w:rsid w:val="00782C6A"/>
    <w:rsid w:val="008215DC"/>
    <w:rsid w:val="0086069B"/>
    <w:rsid w:val="009B1284"/>
    <w:rsid w:val="009D4CF3"/>
    <w:rsid w:val="009F5C76"/>
    <w:rsid w:val="00B64FC7"/>
    <w:rsid w:val="00C3541B"/>
    <w:rsid w:val="00C37B3C"/>
    <w:rsid w:val="00C77721"/>
    <w:rsid w:val="00D331C0"/>
    <w:rsid w:val="00DF4AE6"/>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32</Pages>
  <Words>8762</Words>
  <Characters>49949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3</cp:revision>
  <dcterms:created xsi:type="dcterms:W3CDTF">2026-10-14T04:12:00Z</dcterms:created>
  <dcterms:modified xsi:type="dcterms:W3CDTF">2026-10-15T03:34:00Z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