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352D" w14:textId="77777777" w:rsidR="008215DC" w:rsidRDefault="00000000">
      <w:pPr>
        <w:pStyle w:val="Title"/>
      </w:pPr>
      <w:r>
        <w:t xml:space="preserve">Mandarin-Speaking Children’s Interpretation and Expression of Actions and Results: Evidence </w:t>
      </w:r>
      <w:proofErr w:type="gramStart"/>
      <w:r>
        <w:t>From</w:t>
      </w:r>
      <w:proofErr w:type="gramEnd"/>
      <w:r>
        <w:t xml:space="preserve"> Resultative Verb Compounds and Monomorphemic V1s</w:t>
      </w:r>
    </w:p>
    <w:p w14:paraId="3B81F68F" w14:textId="77777777" w:rsidR="008215DC" w:rsidRDefault="00000000">
      <w:r>
        <w:t xml:space="preserve">Describing an event involves identifying what someone did and whether that action brought about a particular result. Someone can squeeze a lychee without getting it </w:t>
      </w:r>
      <w:proofErr w:type="gramStart"/>
      <w:r>
        <w:t>open, or</w:t>
      </w:r>
      <w:proofErr w:type="gramEnd"/>
      <w:r>
        <w:t xml:space="preserve"> wipe a mirror without getting it clean. To talk about such events, children must learn what different expressions commit a speaker to with respect to the result, and which information to express when they describe an event themselves.</w:t>
      </w:r>
    </w:p>
    <w:p w14:paraId="03DCA56B" w14:textId="77777777" w:rsidR="008215DC" w:rsidRDefault="00000000">
      <w: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42C2A8B4" w14:textId="77777777" w:rsidR="008215DC" w:rsidRDefault="00000000">
      <w:pPr>
        <w:pStyle w:val="ExampleFirst"/>
      </w:pPr>
      <w:r>
        <w:t>(1)</w:t>
      </w:r>
      <w:r>
        <w:tab/>
        <w:t>a.</w:t>
      </w:r>
      <w: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40CEC906" w14:textId="77777777" w:rsidR="008215DC" w:rsidRDefault="00000000">
      <w:pPr>
        <w:pStyle w:val="Example"/>
      </w:pPr>
      <w:r>
        <w:tab/>
      </w:r>
      <w:r>
        <w:tab/>
        <w:t>she peel-open-PERF lychee</w:t>
      </w:r>
    </w:p>
    <w:p w14:paraId="5802B788" w14:textId="77777777" w:rsidR="008215DC" w:rsidRDefault="00000000">
      <w:pPr>
        <w:pStyle w:val="Example"/>
      </w:pPr>
      <w:r>
        <w:tab/>
      </w:r>
      <w:r>
        <w:tab/>
        <w:t>“She peeled the lychee open.”</w:t>
      </w:r>
    </w:p>
    <w:p w14:paraId="7B47B9C3" w14:textId="77777777" w:rsidR="008215DC" w:rsidRDefault="00000000">
      <w:pPr>
        <w:pStyle w:val="Example"/>
      </w:pPr>
      <w:r>
        <w:tab/>
        <w:t>b.</w:t>
      </w:r>
      <w: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09AE7A7C" w14:textId="77777777" w:rsidR="008215DC" w:rsidRDefault="00000000">
      <w:pPr>
        <w:pStyle w:val="Example"/>
      </w:pPr>
      <w:r>
        <w:tab/>
      </w:r>
      <w:r>
        <w:tab/>
        <w:t>she peel-PERF lychee</w:t>
      </w:r>
    </w:p>
    <w:p w14:paraId="059D9847" w14:textId="77777777" w:rsidR="008215DC" w:rsidRDefault="00000000">
      <w:pPr>
        <w:pStyle w:val="ExampleLast"/>
      </w:pPr>
      <w:r>
        <w:tab/>
      </w:r>
      <w:r>
        <w:tab/>
        <w:t>“She peeled the lychee.”</w:t>
      </w:r>
    </w:p>
    <w:p w14:paraId="09E79C3C" w14:textId="77777777" w:rsidR="008215DC" w:rsidRDefault="00000000">
      <w:r>
        <w:t xml:space="preserve">For many Mandarin monomorphemic verbs, the result is not entailed. Tai (1984) observed that </w:t>
      </w:r>
      <w:proofErr w:type="spellStart"/>
      <w:r>
        <w:rPr>
          <w:i/>
          <w:iCs/>
        </w:rPr>
        <w:t>shā</w:t>
      </w:r>
      <w:proofErr w:type="spellEnd"/>
      <w:r>
        <w:t xml:space="preserve"> “kill” can be used of an event in which the victim did not die, whereas the corresponding RVC </w:t>
      </w:r>
      <w:proofErr w:type="spellStart"/>
      <w:r>
        <w:rPr>
          <w:i/>
          <w:iCs/>
        </w:rPr>
        <w:t>shā-sǐ</w:t>
      </w:r>
      <w:proofErr w:type="spellEnd"/>
      <w:r>
        <w:t xml:space="preserve"> “kill-dead” cannot, and </w:t>
      </w:r>
      <w:proofErr w:type="spellStart"/>
      <w:r>
        <w:t>Talmy</w:t>
      </w:r>
      <w:proofErr w:type="spellEnd"/>
      <w: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nevertheless infer that the result was attained, that is, that the event </w:t>
      </w:r>
      <w:r>
        <w:rPr>
          <w:i/>
          <w:iCs/>
        </w:rPr>
        <w:t>culminated</w:t>
      </w:r>
      <w:r>
        <w:t xml:space="preserve">. Because this </w:t>
      </w:r>
      <w:r>
        <w:lastRenderedPageBreak/>
        <w:t>culmination inference is not entailed, it can be cancelled by further information (J. Liu et al., 2026).</w:t>
      </w:r>
      <w:r>
        <w:rPr>
          <w:rStyle w:val="FootnoteReference"/>
        </w:rPr>
        <w:footnoteReference w:id="1"/>
      </w:r>
      <w:r>
        <w:t xml:space="preserve"> RVCs and their V1s therefore differ in whether the result is entailed or only inferred, and this difference becomes observable when an action is performed but its result is not attained.</w:t>
      </w:r>
    </w:p>
    <w:p w14:paraId="1561655E" w14:textId="77777777" w:rsidR="008215DC" w:rsidRDefault="00000000">
      <w:pPr>
        <w:pStyle w:val="ExampleFirst"/>
      </w:pPr>
      <w:r>
        <w:t>(2)</w:t>
      </w:r>
      <w:r>
        <w:tab/>
        <w:t>a.</w:t>
      </w:r>
      <w: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547A8A22" w14:textId="77777777" w:rsidR="008215DC" w:rsidRDefault="00000000">
      <w:pPr>
        <w:pStyle w:val="Example"/>
      </w:pPr>
      <w:r>
        <w:tab/>
      </w:r>
      <w:r>
        <w:tab/>
        <w:t>he fix-PERF computer but NEG fix-good</w:t>
      </w:r>
    </w:p>
    <w:p w14:paraId="7C122306" w14:textId="77777777" w:rsidR="008215DC" w:rsidRDefault="00000000">
      <w:pPr>
        <w:pStyle w:val="Example"/>
      </w:pPr>
      <w:r>
        <w:tab/>
      </w:r>
      <w:r>
        <w:tab/>
        <w:t>“He fixed the computer, but it is still not working.”</w:t>
      </w:r>
    </w:p>
    <w:p w14:paraId="5ED693DD" w14:textId="77777777" w:rsidR="008215DC" w:rsidRDefault="00000000">
      <w:pPr>
        <w:pStyle w:val="Example"/>
      </w:pPr>
      <w:r>
        <w:tab/>
        <w:t>b.</w:t>
      </w:r>
      <w: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68F37AB2" w14:textId="77777777" w:rsidR="008215DC" w:rsidRDefault="00000000">
      <w:pPr>
        <w:pStyle w:val="Example"/>
      </w:pPr>
      <w:r>
        <w:tab/>
      </w:r>
      <w:r>
        <w:tab/>
        <w:t>he fix-good-PERF computer but NEG fix-good</w:t>
      </w:r>
    </w:p>
    <w:p w14:paraId="5FB6F0B4" w14:textId="77777777" w:rsidR="008215DC" w:rsidRDefault="00000000">
      <w:pPr>
        <w:pStyle w:val="ExampleLast"/>
      </w:pPr>
      <w:r>
        <w:tab/>
      </w:r>
      <w:r>
        <w:tab/>
        <w:t>“#He fixed the computer so that it worked, but it is still not working.”</w:t>
      </w:r>
    </w:p>
    <w:p w14:paraId="083D14C4" w14:textId="77777777" w:rsidR="008215DC" w:rsidRDefault="00000000">
      <w:r>
        <w:t xml:space="preserve">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t>
      </w:r>
      <w:r>
        <w:lastRenderedPageBreak/>
        <w:t>Whether a child accepts a V1 description of an unattained result may therefore depend on which V1 is used and on how the action it names is related to the result in question.</w:t>
      </w:r>
    </w:p>
    <w:p w14:paraId="2A5261D8" w14:textId="77777777" w:rsidR="008215DC" w:rsidRDefault="00000000">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t>and it compares pairs of V1s that take the same object and combine with the same V2 but were selected to differ in how strongly the actions they denote are associated with that result</w:t>
      </w:r>
      <w:r>
        <w:t xml:space="preserve">. To verify and characterize this difference, adults rated each V1–object expression for </w:t>
      </w:r>
      <w:r>
        <w:rPr>
          <w:i/>
          <w:iCs/>
        </w:rPr>
        <w:t>result likelihood</w:t>
      </w:r>
      <w:r>
        <w:t xml:space="preserve">, how likely the target result is to follow the action, and </w:t>
      </w:r>
      <w:r>
        <w:rPr>
          <w:i/>
          <w:iCs/>
        </w:rPr>
        <w:t>action typicality</w:t>
      </w:r>
      <w:r>
        <w:t>, how typical the action is as a means of achieving that result. We first review what constrains the combination of V1 and V2 in RVCs, then explain why existing classifications of monomorphemic V1s leave the relation between a</w:t>
      </w:r>
      <w:r w:rsidR="009B1284">
        <w:t xml:space="preserve">n action </w:t>
      </w:r>
      <w:r>
        <w:t>and a particular result underspecified and how the present study characterizes it. We then review children’s comprehension and production of RVCs and V1s and present the research questions and predictions.</w:t>
      </w:r>
    </w:p>
    <w:p w14:paraId="35806F9D" w14:textId="77777777" w:rsidR="008215DC" w:rsidRDefault="00000000">
      <w:pPr>
        <w:pStyle w:val="Heading2"/>
      </w:pPr>
      <w:r>
        <w:t>V1–V2 Combination in Mandarin RVCs</w:t>
      </w:r>
    </w:p>
    <w:p w14:paraId="1B46B334" w14:textId="77777777" w:rsidR="00197B71" w:rsidRDefault="00000000" w:rsidP="00197B71">
      <w:r>
        <w:t>Prior work on RVCs bears on two properties of V1 that are relevant here: which V1s can enter RVCs and what constrains their combination with V2.</w:t>
      </w:r>
    </w:p>
    <w:p w14:paraId="02558B37" w14:textId="77777777" w:rsidR="00197B71" w:rsidRPr="00197B71" w:rsidRDefault="00197B71" w:rsidP="00197B71">
      <w:r w:rsidRPr="00197B71">
        <w:t xml:space="preserve">First, the V1 of an RVC is not restricted to transitive activity verbs. Huang (2006), for example, </w:t>
      </w:r>
      <w:proofErr w:type="spellStart"/>
      <w:r w:rsidRPr="00197B71">
        <w:t>analyzes</w:t>
      </w:r>
      <w:proofErr w:type="spellEnd"/>
      <w:r w:rsidRPr="00197B71">
        <w:t xml:space="preserve"> resultatives with unergative V1s, in which V2 may predicate a result of the subject or of an object that V1 does not itself select (e.g., </w:t>
      </w:r>
      <w:proofErr w:type="spellStart"/>
      <w:r w:rsidRPr="00197B71">
        <w:t>kū-shī</w:t>
      </w:r>
      <w:proofErr w:type="spellEnd"/>
      <w:r w:rsidRPr="00197B71">
        <w:t xml:space="preserve"> </w:t>
      </w:r>
      <w:proofErr w:type="spellStart"/>
      <w:r w:rsidRPr="00197B71">
        <w:t>shǒupà</w:t>
      </w:r>
      <w:proofErr w:type="spellEnd"/>
      <w:r w:rsidRPr="00197B71">
        <w:t xml:space="preserve"> “cry-wet handkerchief”). RVCs thus vary in which participant undergoes the result and in whether that participant is an argument of V1. The present study is restricted to agentive transitive RVCs in which V1 selects </w:t>
      </w:r>
      <w:r w:rsidRPr="00197B71">
        <w:lastRenderedPageBreak/>
        <w:t>the object and V2 predicates a resulting state of that object, so that across materials the same participant is acted on by V1 and undergoes the result expressed by V2.</w:t>
      </w:r>
    </w:p>
    <w:p w14:paraId="26CA6EBC" w14:textId="77777777" w:rsidR="008215DC" w:rsidRDefault="00EA6370">
      <w:r w:rsidRPr="00EA6370">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t>analyzes</w:t>
      </w:r>
      <w:proofErr w:type="spellEnd"/>
      <w:r w:rsidRPr="00EA6370">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t>tī</w:t>
      </w:r>
      <w:proofErr w:type="spellEnd"/>
      <w:r w:rsidRPr="00EA6370">
        <w:t xml:space="preserve"> “kick” forms both </w:t>
      </w:r>
      <w:proofErr w:type="spellStart"/>
      <w:r w:rsidRPr="00EA6370">
        <w:t>tī-dǎo</w:t>
      </w:r>
      <w:proofErr w:type="spellEnd"/>
      <w:r w:rsidRPr="00EA6370">
        <w:t xml:space="preserve"> “kick-fallen” and </w:t>
      </w:r>
      <w:proofErr w:type="spellStart"/>
      <w:r w:rsidRPr="00EA6370">
        <w:t>tī-kāi</w:t>
      </w:r>
      <w:proofErr w:type="spellEnd"/>
      <w:r w:rsidRPr="00EA6370">
        <w:t xml:space="preserve"> “kick-open,” and </w:t>
      </w:r>
      <w:proofErr w:type="spellStart"/>
      <w:r w:rsidRPr="00EA6370">
        <w:t>miè</w:t>
      </w:r>
      <w:proofErr w:type="spellEnd"/>
      <w:r w:rsidRPr="00EA6370">
        <w:t xml:space="preserve"> “extinguished” follows both </w:t>
      </w:r>
      <w:proofErr w:type="spellStart"/>
      <w:r w:rsidRPr="00EA6370">
        <w:t>chuī</w:t>
      </w:r>
      <w:proofErr w:type="spellEnd"/>
      <w:r w:rsidRPr="00EA6370">
        <w:t xml:space="preserve"> “blow” and </w:t>
      </w:r>
      <w:proofErr w:type="spellStart"/>
      <w:r w:rsidRPr="00EA6370">
        <w:t>pū</w:t>
      </w:r>
      <w:proofErr w:type="spellEnd"/>
      <w:r w:rsidRPr="00EA6370">
        <w:t xml:space="preserve"> “beat.”</w:t>
      </w:r>
      <w:proofErr w:type="gramStart"/>
      <w:r w:rsidRPr="00EA6370"/>
      <w:proofErr w:type="gramEnd"/>
      <w:r w:rsidRPr="00EA6370"/>
      <w:r>
        <w:t xml:space="preserve"> These combinations are not equally conventional, however. By </w:t>
      </w:r>
      <w:r>
        <w:rPr>
          <w:i/>
        </w:rPr>
        <w:t>conventional</w:t>
      </w:r>
      <w:r>
        <w:t xml:space="preserve"> we mean how established an RVC is as an expression, that is, how commonly speakers use it: </w:t>
      </w:r>
      <w:r>
        <w:rPr>
          <w:i/>
        </w:rPr>
        <w:t>chuī-miè</w:t>
      </w:r>
      <w:r>
        <w:t xml:space="preserve"> “blow-extinguished” is a common expression, whereas </w:t>
      </w:r>
      <w:r>
        <w:rPr>
          <w:i/>
        </w:rPr>
        <w:t>huī-miè</w:t>
      </w:r>
      <w:r>
        <w:t xml:space="preserve"> “wave-extinguished” is hardly ever used. If whether a compound is possible depends on how the action relates to the result, how conventional it is may depend on this relation as well: An action that is a natural means of bringing about a result is likely to be described often with the corresponding RVC. The two are nonetheless distinct, because conventionality concerns the expression, whereas the relation concerns the event. Existing accounts do not specify what makes a given action a more or less natural means of bringing about a given result. The next section addresses this relation.</w:t>
      </w:r>
    </w:p>
    <w:p w14:paraId="3F06ED27" w14:textId="77777777" w:rsidR="008215DC" w:rsidRDefault="00000000">
      <w:pPr>
        <w:pStyle w:val="Heading2"/>
      </w:pPr>
      <w:r>
        <w:t>Monomorphemic V1s: Classification and Action–Result Association</w:t>
      </w:r>
    </w:p>
    <w:p w14:paraId="07C4CD42" w14:textId="77777777" w:rsidR="008215DC" w:rsidRDefault="00000000">
      <w:r>
        <w:t xml:space="preserve">What a V1 conveys about a result on its own has been characterized in ways that do not align. Mandarin monomorphemic verbs such as </w:t>
      </w:r>
      <w:proofErr w:type="spellStart"/>
      <w:r>
        <w:rPr>
          <w:i/>
          <w:iCs/>
        </w:rPr>
        <w:t>shā</w:t>
      </w:r>
      <w:proofErr w:type="spellEnd"/>
      <w:r>
        <w:t xml:space="preserve"> “kill” and </w:t>
      </w:r>
      <w:proofErr w:type="spellStart"/>
      <w:r>
        <w:rPr>
          <w:i/>
          <w:iCs/>
        </w:rPr>
        <w:t>guān</w:t>
      </w:r>
      <w:proofErr w:type="spellEnd"/>
      <w:r>
        <w:t xml:space="preserve"> “close” have been </w:t>
      </w:r>
      <w:proofErr w:type="spellStart"/>
      <w:r>
        <w:t>analyzed</w:t>
      </w:r>
      <w:proofErr w:type="spellEnd"/>
      <w:r>
        <w:t xml:space="preserve"> as activity verbs that do not encode the result (Tai, 1984), as implied-</w:t>
      </w:r>
      <w:proofErr w:type="spellStart"/>
      <w:r>
        <w:t>fulfillment</w:t>
      </w:r>
      <w:proofErr w:type="spellEnd"/>
      <w:r>
        <w:t xml:space="preserve"> verbs whose result is implicated but cancellable (</w:t>
      </w:r>
      <w:proofErr w:type="spellStart"/>
      <w:r>
        <w:t>Talmy</w:t>
      </w:r>
      <w:proofErr w:type="spellEnd"/>
      <w:r>
        <w:t>, 1991, 2000), and as causative verbs that nevertheless allow zero-change construals (Martin et al., 2020, 2026).</w:t>
      </w:r>
      <w:proofErr w:type="spellStart"/>
      <w:r/>
      <w:proofErr w:type="spellEnd"/>
      <w:r>
        <w:t xml:space="preserve"> Kou and Hohenstein (2022) distinguish four </w:t>
      </w:r>
      <w:proofErr w:type="spellStart"/>
      <w:r>
        <w:t>fulfillment</w:t>
      </w:r>
      <w:proofErr w:type="spellEnd"/>
      <w:r>
        <w:t xml:space="preserve"> types, from verbs that leave the result unspecified to verbs that entail </w:t>
      </w:r>
      <w:proofErr w:type="gramStart"/>
      <w:r>
        <w:t>it, and</w:t>
      </w:r>
      <w:proofErr w:type="gramEnd"/>
      <w:r>
        <w:t xml:space="preserve"> propose diagnostics for assigning English and Mandarin verbs to them. Monomorphemic verbs have also been divided into strong and weak types according to their compatibility with preverbal time-</w:t>
      </w:r>
      <w:r>
        <w:t xml:space="preserve">span adverbials (Martin et al., 2020, 2026). This diagnostic, however, is binary, and it tracks whether a result construal of the verb phrase is available, which the object and the context can supply; it therefore does not grade how strongly a verb implies a result. The V1s in the present materials were originally selected as strong and weak with this diagnostic, but the present study characterizes them by adult ratings instead (see Materials).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t xml:space="preserve"> “several times.” These accounts differ in their criteria and in where they draw boundaries, but they share one feature: Result strength is treated as a property of the verb.</w:t>
      </w:r>
    </w:p>
    <w:p w14:paraId="24031985" w14:textId="6F056115" w:rsidR="008215DC" w:rsidRDefault="00000000">
      <w:r>
        <w:t>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w:t>
      </w:r>
      <w:r w:rsidR="009F5C76">
        <w:rPr>
          <w:rFonts w:eastAsiaTheme="minorEastAsia" w:hint="eastAsia"/>
        </w:rPr>
        <w:t xml:space="preserve"> </w:t>
      </w:r>
      <w:r>
        <w:t xml:space="preserve">a reliable way of knocking over a bottle but a less reliable way of opening a door. Work on sentence processing likewise shows that </w:t>
      </w:r>
      <w:proofErr w:type="spellStart"/>
      <w:r>
        <w:t>comprehenders</w:t>
      </w:r>
      <w:proofErr w:type="spellEnd"/>
      <w:r>
        <w:t>’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25F6D42A" w14:textId="77777777" w:rsidR="008215DC" w:rsidRDefault="00000000">
      <w:r>
        <w:t xml:space="preserve">We refer to the relation between the action named by a V1 and a target result as </w:t>
      </w:r>
      <w:r>
        <w:rPr>
          <w:i/>
        </w:rPr>
        <w:t>action–result association</w:t>
      </w:r>
      <w:r>
        <w:t xml:space="preserve">. Little prior work addresses what makes an action more or less strongly associated with a particular result, so the present study characterizes this relation empirically rather than deriving it from a theory. Adults rated each V1–object expression for </w:t>
      </w:r>
      <w:r>
        <w:rPr>
          <w:i/>
        </w:rPr>
        <w:t>result likelihood</w:t>
      </w:r>
      <w:r>
        <w:t xml:space="preserve">, how likely the target result is to follow the action, and </w:t>
      </w:r>
      <w:r>
        <w:rPr>
          <w:i/>
        </w:rPr>
        <w:t>action typicality</w:t>
      </w:r>
      <w:r>
        <w:t xml:space="preserve">, how typical the action is as a means of achieving that result. The two ratings approach the relation from the action and from the result, respectively: Blowing on a candle, for example, is both likely to put it </w:t>
      </w:r>
      <w:r>
        <w:t>out and a typical way of doing so, whereas waving at it is neither. Both ratings concern the relation between an action and a result in the event, not how conventional the corresponding RVC is. They are used jointly to verify and characterize the contrast between the paired V1s (see Materials), and the study does not attempt to separate their contributions. Neither rating measures lexical entailment or children’s own knowledge; both are adult reference measures of the relations between the selected actions and their target results.</w:t>
      </w:r>
    </w:p>
    <w:p w14:paraId="093628BA" w14:textId="77777777" w:rsidR="00DF4AE6" w:rsidRPr="00DF4AE6" w:rsidRDefault="00000000" w:rsidP="00DF4AE6">
      <w:pPr>
        <w:pStyle w:val="Heading2"/>
      </w:pPr>
      <w:r>
        <w:t>Children’s Comprehension of RVCs and V1s</w:t>
      </w:r>
    </w:p>
    <w:p w14:paraId="7DC51666" w14:textId="77777777" w:rsidR="00DF4AE6" w:rsidRPr="00DF4AE6" w:rsidRDefault="00DF4AE6" w:rsidP="00DF4AE6">
      <w:r w:rsidRPr="00DF4AE6">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children show early sensitivity to the association between the perfective marker </w:t>
      </w:r>
      <w:r w:rsidRPr="00DF4AE6">
        <w:rPr>
          <w:i/>
          <w:iCs/>
        </w:rPr>
        <w:t>-le</w:t>
      </w:r>
      <w:r w:rsidRPr="00DF4AE6">
        <w:t xml:space="preserve"> and telic verbs (Li &amp; Bowerman, 1998).</w:t>
      </w:r>
    </w:p>
    <w:p w14:paraId="0CF9350E" w14:textId="77777777" w:rsidR="00DF4AE6" w:rsidRPr="00DF4AE6" w:rsidRDefault="00DF4AE6" w:rsidP="00DF4AE6">
      <w:r w:rsidRPr="00DF4AE6">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4F750013" w14:textId="77777777" w:rsidR="00C37B3C" w:rsidRDefault="00DF4AE6" w:rsidP="00C37B3C">
      <w:r w:rsidRPr="00DF4AE6">
        <w:t xml:space="preserve">For V1s, development is slower. In Chen’s (2017) study, adults always accepted a V1 when the action was performed without the result, but children in all age groups, including 6-year-olds, often rejected it, as if the V1, like the RVC, entailed the result. J. Liu et al. (2026) likewise found that 5-year-olds rejected monomorphemic causative verbs in such events more often than adults did, although the adverbial </w:t>
      </w:r>
      <w:proofErr w:type="spellStart"/>
      <w:r w:rsidRPr="00DF4AE6">
        <w:t>hǎojǐcì</w:t>
      </w:r>
      <w:proofErr w:type="spellEnd"/>
      <w:r w:rsidRPr="00DF4AE6">
        <w:t xml:space="preserve"> “several times” increased acceptance in all </w:t>
      </w:r>
      <w:r w:rsidRPr="00DF4AE6">
        <w:lastRenderedPageBreak/>
        <w:t xml:space="preserve">age groups. Children’s rejections also varied across verbs. In Chen’s (2017) study, </w:t>
      </w:r>
      <w:proofErr w:type="spellStart"/>
      <w:r w:rsidRPr="00DF4AE6">
        <w:t>guān</w:t>
      </w:r>
      <w:proofErr w:type="spellEnd"/>
      <w:r w:rsidRPr="00DF4AE6">
        <w:t xml:space="preserve"> “close” and </w:t>
      </w:r>
      <w:proofErr w:type="spellStart"/>
      <w:r w:rsidRPr="00DF4AE6">
        <w:t>zhāi</w:t>
      </w:r>
      <w:proofErr w:type="spellEnd"/>
      <w:r w:rsidRPr="00DF4AE6">
        <w:t xml:space="preserve"> “pick” were accepted less often than the six other V1s tested, and in an adult rating study reported in the same paper, these two verbs were also the least acceptable with a clause cancelling the result. Chen attributed children’s verb differences to sensitivity to the strength of the state-change implicature.</w:t>
      </w:r>
    </w:p>
    <w:p w14:paraId="5690B643" w14:textId="77777777" w:rsidR="00C37B3C" w:rsidRPr="00C37B3C" w:rsidRDefault="00C37B3C" w:rsidP="00C37B3C">
      <w:r w:rsidRPr="00C37B3C">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t>hǎojǐcì</w:t>
      </w:r>
      <w:proofErr w:type="spellEnd"/>
      <w:r w:rsidRPr="00C37B3C">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08AD0E9F" w14:textId="77777777" w:rsidR="008215DC" w:rsidRDefault="00000000" w:rsidP="00DF4AE6">
      <w:pPr>
        <w:pStyle w:val="Heading2"/>
      </w:pPr>
      <w:r>
        <w:lastRenderedPageBreak/>
        <w:t>Children’s Production of RVCs and V1s</w:t>
      </w:r>
    </w:p>
    <w:p w14:paraId="72169AE9" w14:textId="77777777" w:rsidR="005E64BA" w:rsidRPr="005E64BA" w:rsidRDefault="005E64BA" w:rsidP="005E64BA">
      <w:r w:rsidRPr="005E64BA">
        <w:t>Being able to form an RVC provides a resource for describing events but does not determine which information a speaker will express. Children produce RVCs from early on (Chen, 2008; Deng, 2019), although their command of RVC event structure develops gradually (Deng, 2019), 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6841E2D7" w14:textId="77777777" w:rsidR="005E64BA" w:rsidRDefault="005E64BA" w:rsidP="005E64BA">
      <w:r w:rsidRPr="005E64BA">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t>in order to</w:t>
      </w:r>
      <w:proofErr w:type="gramEnd"/>
      <w:r w:rsidRPr="005E64BA">
        <w:t xml:space="preserve"> deny it, as in </w:t>
      </w:r>
      <w:proofErr w:type="spellStart"/>
      <w:r w:rsidRPr="005E64BA">
        <w:t>méi</w:t>
      </w:r>
      <w:proofErr w:type="spellEnd"/>
      <w:r w:rsidRPr="005E64BA">
        <w:t xml:space="preserve"> </w:t>
      </w:r>
      <w:proofErr w:type="spellStart"/>
      <w:r w:rsidRPr="005E64BA">
        <w:t>bāo-kāi</w:t>
      </w:r>
      <w:proofErr w:type="spellEnd"/>
      <w:r w:rsidRPr="005E64BA">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42A8383C" w14:textId="77777777" w:rsidR="008215DC" w:rsidRDefault="00000000" w:rsidP="005E64BA">
      <w:pPr>
        <w:pStyle w:val="Heading2"/>
      </w:pPr>
      <w:r>
        <w:lastRenderedPageBreak/>
        <w:t>The Present Study</w:t>
      </w:r>
    </w:p>
    <w:p w14:paraId="4A821F60" w14:textId="77777777" w:rsidR="008215DC" w:rsidRDefault="00000000">
      <w: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 with the target result than the other (e.g., </w:t>
      </w:r>
      <w:proofErr w:type="spellStart"/>
      <w:r>
        <w:rPr>
          <w:i/>
          <w:iCs/>
        </w:rPr>
        <w:t>chuī</w:t>
      </w:r>
      <w:proofErr w:type="spellEnd"/>
      <w:r>
        <w:t xml:space="preserve"> “blow” vs. </w:t>
      </w:r>
      <w:proofErr w:type="spellStart"/>
      <w:r>
        <w:rPr>
          <w:i/>
          <w:iCs/>
        </w:rPr>
        <w:t>huī</w:t>
      </w:r>
      <w:proofErr w:type="spellEnd"/>
      <w:r>
        <w:t xml:space="preserve"> “wave” a candle, with the target result </w:t>
      </w:r>
      <w:proofErr w:type="spellStart"/>
      <w:r>
        <w:rPr>
          <w:i/>
          <w:iCs/>
        </w:rPr>
        <w:t>miè</w:t>
      </w:r>
      <w:proofErr w:type="spellEnd"/>
      <w:r>
        <w:t xml:space="preserve"> “extinguished”). After the child data had been collected, adult ratings of result likelihood and action typicality were obtained to verify and characterize this contrast. In eight pairs, the expected stronger-association expression received reliably higher ratings on both dimensions; these pairs, comprising eight stronger-association and eight weaker-association V1s, form the materials for the analyses of Experiment 1. The two remaining pairs, in which the typicality difference was reversed or neither difference was reliable, are excluded from these analyses (see Method).</w:t>
      </w:r>
    </w:p>
    <w:p w14:paraId="7CFA8DF2" w14:textId="77777777" w:rsidR="008215DC" w:rsidRDefault="00000000">
      <w:r>
        <w:t>Experiment 1 tests children’s interpretation of RVC and V1 descriptions in a yes–no judgment task, in which acceptance serves as the measure of interpretation. It asks two questions:</w:t>
      </w:r>
    </w:p>
    <w:p w14:paraId="33248895" w14:textId="77777777" w:rsidR="003B797C" w:rsidRPr="003B797C" w:rsidRDefault="00000000" w:rsidP="003B797C">
      <w:pPr>
        <w:pStyle w:val="ResearchQuestion"/>
      </w:pPr>
      <w:r>
        <w:rPr>
          <w:i/>
          <w:iCs/>
        </w:rPr>
        <w:t>RQ1.</w:t>
      </w:r>
      <w: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1B9885C9" w14:textId="77777777" w:rsidR="0055310B" w:rsidRDefault="00000000" w:rsidP="0055310B">
      <w:pPr>
        <w:pStyle w:val="ResearchQuestion"/>
      </w:pPr>
      <w:r>
        <w:rPr>
          <w:i/>
          <w:iCs/>
        </w:rPr>
        <w:t>RQ2.</w:t>
      </w:r>
      <w:r>
        <w:t xml:space="preserve"> </w:t>
      </w:r>
      <w:r w:rsidR="0055310B" w:rsidRPr="0055310B">
        <w:t>Within pairs matched for object and target result, do children interpret stronger- and weaker-association V1s differently, as indexed by whether acceptance of V1 descriptions differs between the two sets, particularly in zero-result events, and is this difference larger in children than in adults?</w:t>
      </w:r>
    </w:p>
    <w:p w14:paraId="455138B3" w14:textId="77777777" w:rsidR="0055310B" w:rsidRPr="0055310B" w:rsidRDefault="00000000" w:rsidP="0055310B">
      <w:r>
        <w:lastRenderedPageBreak/>
        <w:t xml:space="preserve">RVC descriptions are expected to be accepted for full-result and rejected for zero-result events, although children may accept some RVC descriptions of zero-result events (J. Liu et al., 2026). </w:t>
      </w:r>
      <w:r w:rsidR="0055310B" w:rsidRPr="0055310B">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stronger-association V1s are expected to be accepted less often than their weaker-association partners, with a smaller difference in full-result events. This difference is expected to be larger in children than in adults: Adults accept V1 descriptions of zero-result events at high rates (Chen, 2017), whereas children’s stricter judgments leave room for the association to matter.</w:t>
      </w:r>
    </w:p>
    <w:p w14:paraId="57F90C35" w14:textId="77777777" w:rsidR="00C3541B" w:rsidRPr="00C3541B" w:rsidRDefault="00C3541B" w:rsidP="00C3541B">
      <w:r w:rsidRPr="00C3541B">
        <w:t>Experiment 2 examines how children describe the same events in an open-ended video-description task. It asks one question:</w:t>
      </w:r>
    </w:p>
    <w:p w14:paraId="08563DA6" w14:textId="77777777" w:rsidR="00C3541B" w:rsidRPr="00C3541B" w:rsidRDefault="00C3541B" w:rsidP="00C3541B">
      <w:pPr>
        <w:pStyle w:val="ResearchQuestion"/>
      </w:pPr>
      <w:r w:rsidRPr="006B7B7E">
        <w:rPr>
          <w:i/>
          <w:iCs/>
        </w:rPr>
        <w:t xml:space="preserve">RQ3. </w:t>
      </w:r>
      <w:r w:rsidRPr="00C3541B">
        <w:t xml:space="preserve">Does realization of the target result affect how children describe an event, as indexed by (a) whether they include an RVC and (b) among responses without an RVC, whether they express the action only, the target </w:t>
      </w:r>
      <w:proofErr w:type="gramStart"/>
      <w:r w:rsidRPr="00C3541B">
        <w:t>result</w:t>
      </w:r>
      <w:proofErr w:type="gramEnd"/>
      <w:r w:rsidRPr="00C3541B">
        <w:t xml:space="preserve"> only, or both in separate predicates?</w:t>
      </w:r>
    </w:p>
    <w:p w14:paraId="6F87CE76" w14:textId="77777777" w:rsidR="00C3541B" w:rsidRDefault="00C3541B" w:rsidP="00C3541B">
      <w:r w:rsidRPr="00C3541B">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480877CF" w14:textId="77777777" w:rsidR="008215DC" w:rsidRDefault="00000000" w:rsidP="00C3541B">
      <w:r>
        <w:lastRenderedPageBreak/>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14:paraId="07E90C41" w14:textId="77777777" w:rsidR="009D4CF3" w:rsidRDefault="00000000">
      <w:pPr>
        <w:pStyle w:val="Heading1"/>
      </w:pPr>
      <w:r>
        <w:t>Materials</w:t>
      </w:r>
    </w:p>
    <w:p w14:paraId="1287DB1B" w14:textId="77777777" w:rsidR="009D4CF3" w:rsidRDefault="00000000">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14:paraId="00ED44D9" w14:textId="77777777" w:rsidR="009D4CF3" w:rsidRDefault="00000000">
      <w:pPr>
        <w:pStyle w:val="Heading2"/>
      </w:pPr>
      <w:r>
        <w:t>Action Pairs and Videos</w:t>
      </w:r>
    </w:p>
    <w:p w14:paraId="2976E87D" w14:textId="08DDC6C5" w:rsidR="009D4CF3" w:rsidRDefault="00000000">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w:t>
      </w:r>
      <w:r>
        <w:lastRenderedPageBreak/>
        <w:t xml:space="preserve">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form two sets of 10: the expected stronger-association expressions and their expected weaker-association partners.</w:t>
      </w:r>
      <w:r w:rsidR="006B7B7E" w:rsidRPr="006B7B7E"/>
      <w:r w:rsidR="006B7B7E">
        <w:rPr>
          <w:rFonts w:eastAsiaTheme="minorEastAsia" w:hint="eastAsia"/>
        </w:rPr>
      </w:r>
      <w:r/>
      <w:r w:rsidR="006B7B7E">
        <w:rPr>
          <w:rFonts w:eastAsiaTheme="minorEastAsia" w:hint="eastAsia"/>
        </w:rPr>
      </w:r>
      <w:r/>
    </w:p>
    <w:p w14:paraId="2976E87D" w14:textId="08DDC6C5" w:rsidR="009D4CF3" w:rsidRDefault="00000000">
      <w:r>
        <w:t xml:space="preserve">When the materials were designed, the two sets were defined as Strong and Weak V1s, following Martin et al. (2020, 2026). On this classification, Strong V1s, such as </w:t>
      </w:r>
      <w:r>
        <w:rPr>
          <w:i/>
        </w:rPr>
        <w:t>xǐ</w:t>
      </w:r>
      <w:r>
        <w:t xml:space="preserve"> “wash,” strongly imply a change of state in the object, whereas Weak V1s, such as </w:t>
      </w:r>
      <w:r>
        <w:rPr>
          <w:i/>
        </w:rPr>
        <w:t>mō</w:t>
      </w:r>
      <w:r>
        <w:t xml:space="preserve"> “pet,” at best weakly imply one. The two classes are distinguished by a single diagnostic: Only Strong V1s are compatible with a preverbal time-span adverbial, as in </w:t>
      </w:r>
      <w:r>
        <w:rPr>
          <w:i/>
        </w:rPr>
        <w:t>yì fēnzhōng xǐ-le yì shuāng wàzi</w:t>
      </w:r>
      <w:r>
        <w:t xml:space="preserve"> “washed a pair of socks in one minute” versus </w:t>
      </w:r>
      <w:r>
        <w:rPr>
          <w:i/>
        </w:rPr>
        <w:t>*yì fēnzhōng mō-le yì zhī māo</w:t>
      </w:r>
      <w:r>
        <w:t xml:space="preserve"> “petted a cat in one minute.” Some V1s in the present materials were taken from Martin et al. (2020), and the others were selected with this diagnostic. We no longer use this classification, for three reasons. First, the diagnostic is binary, whereas the property it was meant to capture, the strength with which a V1 implies a result, is a matter of degree. Second, the diagnostic tracks whether a result construal of the verb phrase is available, which the object and the context can supply, rather than a fixed property of the V1: Several V1s in the weaker set are also compatible with the adverbial when combined with a suitable object, as in </w:t>
      </w:r>
      <w:r>
        <w:rPr>
          <w:i/>
        </w:rPr>
        <w:t>yì fēnzhōng tuī-le yí ge xiāngzi</w:t>
      </w:r>
      <w:r>
        <w:t xml:space="preserve"> “pushed a box in one minute,” and the same holds for </w:t>
      </w:r>
      <w:r>
        <w:rPr>
          <w:i/>
        </w:rPr>
        <w:t>chōng</w:t>
      </w:r>
      <w:r>
        <w:t xml:space="preserve"> “rinse” and </w:t>
      </w:r>
      <w:r>
        <w:rPr>
          <w:i/>
        </w:rPr>
        <w:t>chuí</w:t>
      </w:r>
      <w:r>
        <w:t xml:space="preserve"> “hammer.” Third, the stronger set combined verbs that name an action directed at a specific result, such as </w:t>
      </w:r>
      <w:r>
        <w:rPr>
          <w:i/>
        </w:rPr>
        <w:t>bāo</w:t>
      </w:r>
      <w:r>
        <w:t xml:space="preserve"> “peel,” </w:t>
      </w:r>
      <w:r>
        <w:rPr>
          <w:i/>
        </w:rPr>
        <w:t>sī</w:t>
      </w:r>
      <w:r>
        <w:t xml:space="preserve"> “tear,” and </w:t>
      </w:r>
      <w:r>
        <w:rPr>
          <w:i/>
        </w:rPr>
        <w:t>cā</w:t>
      </w:r>
      <w:r>
        <w:t xml:space="preserve"> “wipe,” with verbs that name a manner of action compatible with many results, such as </w:t>
      </w:r>
      <w:r>
        <w:rPr>
          <w:i/>
        </w:rPr>
        <w:t>tī</w:t>
      </w:r>
      <w:r>
        <w:t xml:space="preserve"> “kick” and </w:t>
      </w:r>
      <w:r>
        <w:rPr>
          <w:i/>
        </w:rPr>
        <w:t>chuī</w:t>
      </w:r>
      <w:r>
        <w:t xml:space="preserve"> “blow,” and the diagnostic provides no independent reason to group them together. Because the diagnostic characterizes verbs rather than the relation between an action and a particular result, the present study characterizes the pairs by adult ratings of each action’s association with its target result, described below. The labels </w:t>
      </w:r>
      <w:r>
        <w:rPr>
          <w:i/>
        </w:rPr>
        <w:t>stronger-association</w:t>
      </w:r>
      <w:r>
        <w:t xml:space="preserve"> and </w:t>
      </w:r>
      <w:r>
        <w:rPr>
          <w:i/>
        </w:rPr>
        <w:t>weaker-association</w:t>
      </w:r>
      <w:r>
        <w:t xml:space="preserve"> refer to these ratings, not to the original classification.</w:t>
      </w:r>
    </w:p>
    <w:p w14:paraId="51C1CAF8" w14:textId="77777777" w:rsidR="009D4CF3" w:rsidRDefault="00000000">
      <w:pPr>
        <w:pStyle w:val="TableNumber"/>
      </w:pPr>
      <w:r>
        <w:t>Table 1</w:t>
      </w:r>
    </w:p>
    <w:p w14:paraId="12945CFB" w14:textId="77777777" w:rsidR="009D4CF3" w:rsidRDefault="00000000">
      <w:pPr>
        <w:pStyle w:val="TableTitle"/>
      </w:pPr>
      <w:r>
        <w:t>Action Pairs, Adult Ratings, and Corpus Frequency of the Corresponding RVCs</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504"/>
        <w:gridCol w:w="1152"/>
        <w:gridCol w:w="1368"/>
        <w:gridCol w:w="1080"/>
        <w:gridCol w:w="1368"/>
        <w:gridCol w:w="1368"/>
        <w:gridCol w:w="1296"/>
        <w:gridCol w:w="1224"/>
      </w:tblGrid>
      <w:tr w:rsidR="009D4CF3" w14:paraId="5F569CAA" w14:textId="77777777">
        <w:trPr>
          <w:cantSplit/>
          <w:tblHeader/>
          <w:jc w:val="center"/>
        </w:trPr>
        <w:tc>
          <w:tcPr>
            <w:tcW w:w="504" w:type="dxa"/>
            <w:tcBorders>
              <w:bottom w:val="single" w:sz="8" w:space="0" w:color="000000"/>
            </w:tcBorders>
          </w:tcPr>
          <w:p w14:paraId="60BFD2E9" w14:textId="77777777" w:rsidR="009D4CF3" w:rsidRDefault="00000000">
            <w:pPr>
              <w:pStyle w:val="TableText"/>
              <w:keepNext/>
            </w:pPr>
            <w:r>
              <w:t>Pair</w:t>
            </w:r>
          </w:p>
        </w:tc>
        <w:tc>
          <w:tcPr>
            <w:tcW w:w="1152" w:type="dxa"/>
            <w:tcBorders>
              <w:bottom w:val="single" w:sz="8" w:space="0" w:color="000000"/>
            </w:tcBorders>
          </w:tcPr>
          <w:p w14:paraId="3A0B2AA8" w14:textId="77777777" w:rsidR="009D4CF3" w:rsidRDefault="00000000">
            <w:pPr>
              <w:pStyle w:val="TableText"/>
              <w:keepNext/>
            </w:pPr>
            <w:r>
              <w:t>Object</w:t>
            </w:r>
          </w:p>
        </w:tc>
        <w:tc>
          <w:tcPr>
            <w:tcW w:w="1368" w:type="dxa"/>
            <w:tcBorders>
              <w:bottom w:val="single" w:sz="8" w:space="0" w:color="000000"/>
            </w:tcBorders>
          </w:tcPr>
          <w:p w14:paraId="59704C17" w14:textId="77777777" w:rsidR="009D4CF3" w:rsidRDefault="00000000">
            <w:pPr>
              <w:pStyle w:val="TableText"/>
              <w:keepNext/>
            </w:pPr>
            <w:r>
              <w:t>Target result (V2)</w:t>
            </w:r>
          </w:p>
        </w:tc>
        <w:tc>
          <w:tcPr>
            <w:tcW w:w="1080" w:type="dxa"/>
            <w:tcBorders>
              <w:bottom w:val="single" w:sz="8" w:space="0" w:color="000000"/>
            </w:tcBorders>
          </w:tcPr>
          <w:p w14:paraId="4423FF1F" w14:textId="77777777" w:rsidR="009D4CF3" w:rsidRDefault="00000000">
            <w:pPr>
              <w:pStyle w:val="TableText"/>
              <w:keepNext/>
            </w:pPr>
            <w:r>
              <w:t>V1</w:t>
            </w:r>
          </w:p>
        </w:tc>
        <w:tc>
          <w:tcPr>
            <w:tcW w:w="1368" w:type="dxa"/>
            <w:tcBorders>
              <w:bottom w:val="single" w:sz="8" w:space="0" w:color="000000"/>
            </w:tcBorders>
          </w:tcPr>
          <w:p w14:paraId="33FF3043" w14:textId="77777777" w:rsidR="009D4CF3" w:rsidRDefault="00000000">
            <w:pPr>
              <w:pStyle w:val="TableText"/>
              <w:keepNext/>
            </w:pPr>
            <w:r>
              <w:t>RVC</w:t>
            </w:r>
          </w:p>
        </w:tc>
        <w:tc>
          <w:tcPr>
            <w:tcW w:w="1368" w:type="dxa"/>
            <w:tcBorders>
              <w:bottom w:val="single" w:sz="8" w:space="0" w:color="000000"/>
            </w:tcBorders>
          </w:tcPr>
          <w:p w14:paraId="5FEB58AC" w14:textId="77777777" w:rsidR="009D4CF3" w:rsidRDefault="00000000">
            <w:pPr>
              <w:pStyle w:val="TableText"/>
              <w:keepNext/>
              <w:jc w:val="center"/>
            </w:pPr>
            <w:r>
              <w:t>Likelihood</w:t>
            </w:r>
            <w:r>
              <w:br/>
            </w:r>
            <w:r>
              <w:rPr>
                <w:i/>
              </w:rPr>
              <w:t>M</w:t>
            </w:r>
            <w:r>
              <w:t xml:space="preserve"> (</w:t>
            </w:r>
            <w:r>
              <w:rPr>
                <w:i/>
              </w:rPr>
              <w:t>SD</w:t>
            </w:r>
            <w:r>
              <w:t>)</w:t>
            </w:r>
          </w:p>
        </w:tc>
        <w:tc>
          <w:tcPr>
            <w:tcW w:w="1296" w:type="dxa"/>
            <w:tcBorders>
              <w:bottom w:val="single" w:sz="8" w:space="0" w:color="000000"/>
            </w:tcBorders>
          </w:tcPr>
          <w:p w14:paraId="62B5B29F" w14:textId="77777777" w:rsidR="009D4CF3" w:rsidRDefault="00000000">
            <w:pPr>
              <w:pStyle w:val="TableText"/>
              <w:keepNext/>
              <w:jc w:val="center"/>
            </w:pPr>
            <w:r>
              <w:t>Typicality</w:t>
            </w:r>
            <w:r>
              <w:br/>
            </w:r>
            <w:r>
              <w:rPr>
                <w:i/>
              </w:rPr>
              <w:t>M</w:t>
            </w:r>
            <w:r>
              <w:t xml:space="preserve"> (</w:t>
            </w:r>
            <w:r>
              <w:rPr>
                <w:i/>
              </w:rPr>
              <w:t>SD</w:t>
            </w:r>
            <w:r>
              <w:t>)</w:t>
            </w:r>
          </w:p>
        </w:tc>
        <w:tc>
          <w:tcPr>
            <w:tcW w:w="1224" w:type="dxa"/>
            <w:tcBorders>
              <w:bottom w:val="single" w:sz="8" w:space="0" w:color="000000"/>
            </w:tcBorders>
          </w:tcPr>
          <w:p w14:paraId="6F926C6E" w14:textId="77777777" w:rsidR="009D4CF3" w:rsidRDefault="00000000">
            <w:pPr>
              <w:pStyle w:val="TableText"/>
              <w:keepNext/>
              <w:jc w:val="center"/>
            </w:pPr>
            <w:r>
              <w:t>CCL</w:t>
            </w:r>
            <w:r>
              <w:br/>
              <w:t>documents</w:t>
            </w:r>
          </w:p>
        </w:tc>
      </w:tr>
      <w:tr w:rsidR="009D4CF3" w14:paraId="34030EB6" w14:textId="77777777">
        <w:trPr>
          <w:cantSplit/>
          <w:jc w:val="center"/>
        </w:trPr>
        <w:tc>
          <w:tcPr>
            <w:tcW w:w="504" w:type="dxa"/>
            <w:vMerge w:val="restart"/>
          </w:tcPr>
          <w:p w14:paraId="18C50465" w14:textId="77777777" w:rsidR="009D4CF3" w:rsidRDefault="00000000">
            <w:pPr>
              <w:pStyle w:val="TableText"/>
              <w:keepNext/>
            </w:pPr>
            <w:r>
              <w:t>1</w:t>
            </w:r>
          </w:p>
        </w:tc>
        <w:tc>
          <w:tcPr>
            <w:tcW w:w="1152" w:type="dxa"/>
            <w:vMerge w:val="restart"/>
          </w:tcPr>
          <w:p w14:paraId="594659FA" w14:textId="77777777" w:rsidR="009D4CF3" w:rsidRDefault="00000000">
            <w:pPr>
              <w:pStyle w:val="TableText"/>
              <w:keepNext/>
            </w:pPr>
            <w:r>
              <w:rPr>
                <w:i/>
              </w:rPr>
              <w:t>lìzhī</w:t>
            </w:r>
            <w:r>
              <w:br/>
              <w:t>“lychee”</w:t>
            </w:r>
          </w:p>
        </w:tc>
        <w:tc>
          <w:tcPr>
            <w:tcW w:w="1368" w:type="dxa"/>
            <w:vMerge w:val="restart"/>
          </w:tcPr>
          <w:p w14:paraId="7AF6AA00" w14:textId="77777777" w:rsidR="009D4CF3" w:rsidRDefault="00000000">
            <w:pPr>
              <w:pStyle w:val="TableText"/>
              <w:keepNext/>
            </w:pPr>
            <w:r>
              <w:rPr>
                <w:i/>
              </w:rPr>
              <w:t>kāi</w:t>
            </w:r>
            <w:r>
              <w:br/>
              <w:t>“open”</w:t>
            </w:r>
          </w:p>
        </w:tc>
        <w:tc>
          <w:tcPr>
            <w:tcW w:w="1080" w:type="dxa"/>
          </w:tcPr>
          <w:p w14:paraId="63E4CE90" w14:textId="77777777" w:rsidR="009D4CF3" w:rsidRDefault="00000000">
            <w:pPr>
              <w:pStyle w:val="TableText"/>
              <w:keepNext/>
            </w:pPr>
            <w:r>
              <w:rPr>
                <w:i/>
              </w:rPr>
              <w:t>bāo</w:t>
            </w:r>
            <w:r>
              <w:br/>
              <w:t>“peel”</w:t>
            </w:r>
          </w:p>
        </w:tc>
        <w:tc>
          <w:tcPr>
            <w:tcW w:w="1368" w:type="dxa"/>
          </w:tcPr>
          <w:p w14:paraId="5BD56139" w14:textId="77777777" w:rsidR="009D4CF3" w:rsidRDefault="00000000">
            <w:pPr>
              <w:pStyle w:val="TableText"/>
              <w:keepNext/>
            </w:pPr>
            <w:r>
              <w:rPr>
                <w:i/>
              </w:rPr>
              <w:t>bāo-kāi</w:t>
            </w:r>
          </w:p>
        </w:tc>
        <w:tc>
          <w:tcPr>
            <w:tcW w:w="1368" w:type="dxa"/>
          </w:tcPr>
          <w:p w14:paraId="23FFABAA" w14:textId="77777777" w:rsidR="009D4CF3" w:rsidRDefault="00000000">
            <w:pPr>
              <w:pStyle w:val="TableText"/>
              <w:keepNext/>
              <w:jc w:val="center"/>
            </w:pPr>
            <w:r>
              <w:t>93.40 (12.50)</w:t>
            </w:r>
          </w:p>
        </w:tc>
        <w:tc>
          <w:tcPr>
            <w:tcW w:w="1296" w:type="dxa"/>
          </w:tcPr>
          <w:p w14:paraId="22695813" w14:textId="77777777" w:rsidR="009D4CF3" w:rsidRDefault="00000000">
            <w:pPr>
              <w:pStyle w:val="TableText"/>
              <w:keepNext/>
              <w:jc w:val="center"/>
            </w:pPr>
            <w:r>
              <w:t>6.65 (0.81)</w:t>
            </w:r>
          </w:p>
        </w:tc>
        <w:tc>
          <w:tcPr>
            <w:tcW w:w="1224" w:type="dxa"/>
          </w:tcPr>
          <w:p w14:paraId="3E649709" w14:textId="77777777" w:rsidR="009D4CF3" w:rsidRDefault="00000000">
            <w:pPr>
              <w:pStyle w:val="TableText"/>
              <w:keepNext/>
              <w:jc w:val="center"/>
            </w:pPr>
            <w:r>
              <w:t>1,700</w:t>
            </w:r>
          </w:p>
        </w:tc>
      </w:tr>
      <w:tr w:rsidR="009D4CF3" w14:paraId="328A3F4A" w14:textId="77777777">
        <w:trPr>
          <w:cantSplit/>
          <w:jc w:val="center"/>
        </w:trPr>
        <w:tc>
          <w:tcPr>
            <w:tcW w:w="504" w:type="dxa"/>
            <w:vMerge/>
          </w:tcPr>
          <w:p w14:paraId="745818CE" w14:textId="77777777" w:rsidR="009D4CF3" w:rsidRDefault="009D4CF3"/>
        </w:tc>
        <w:tc>
          <w:tcPr>
            <w:tcW w:w="1152" w:type="dxa"/>
            <w:vMerge/>
          </w:tcPr>
          <w:p w14:paraId="72BC9BFB" w14:textId="77777777" w:rsidR="009D4CF3" w:rsidRDefault="009D4CF3"/>
        </w:tc>
        <w:tc>
          <w:tcPr>
            <w:tcW w:w="1368" w:type="dxa"/>
            <w:vMerge/>
          </w:tcPr>
          <w:p w14:paraId="48B8E3D8" w14:textId="77777777" w:rsidR="009D4CF3" w:rsidRDefault="009D4CF3"/>
        </w:tc>
        <w:tc>
          <w:tcPr>
            <w:tcW w:w="1080" w:type="dxa"/>
          </w:tcPr>
          <w:p w14:paraId="7809B274" w14:textId="77777777" w:rsidR="009D4CF3" w:rsidRDefault="00000000">
            <w:pPr>
              <w:pStyle w:val="TableText"/>
              <w:keepNext/>
            </w:pPr>
            <w:r>
              <w:rPr>
                <w:i/>
              </w:rPr>
              <w:t>niē</w:t>
            </w:r>
            <w:r>
              <w:br/>
              <w:t>“squeeze”</w:t>
            </w:r>
          </w:p>
        </w:tc>
        <w:tc>
          <w:tcPr>
            <w:tcW w:w="1368" w:type="dxa"/>
          </w:tcPr>
          <w:p w14:paraId="270FF5F1" w14:textId="77777777" w:rsidR="009D4CF3" w:rsidRDefault="00000000">
            <w:pPr>
              <w:pStyle w:val="TableText"/>
              <w:keepNext/>
            </w:pPr>
            <w:r>
              <w:rPr>
                <w:i/>
              </w:rPr>
              <w:t>niē-kāi</w:t>
            </w:r>
          </w:p>
        </w:tc>
        <w:tc>
          <w:tcPr>
            <w:tcW w:w="1368" w:type="dxa"/>
          </w:tcPr>
          <w:p w14:paraId="2A5AE450" w14:textId="77777777" w:rsidR="009D4CF3" w:rsidRDefault="00000000">
            <w:pPr>
              <w:pStyle w:val="TableText"/>
              <w:keepNext/>
              <w:jc w:val="center"/>
            </w:pPr>
            <w:r>
              <w:t>64.50 (26.97)</w:t>
            </w:r>
          </w:p>
        </w:tc>
        <w:tc>
          <w:tcPr>
            <w:tcW w:w="1296" w:type="dxa"/>
          </w:tcPr>
          <w:p w14:paraId="7BF588A8" w14:textId="77777777" w:rsidR="009D4CF3" w:rsidRDefault="00000000">
            <w:pPr>
              <w:pStyle w:val="TableText"/>
              <w:keepNext/>
              <w:jc w:val="center"/>
            </w:pPr>
            <w:r>
              <w:t>3.40 (1.60)</w:t>
            </w:r>
          </w:p>
        </w:tc>
        <w:tc>
          <w:tcPr>
            <w:tcW w:w="1224" w:type="dxa"/>
          </w:tcPr>
          <w:p w14:paraId="15888CB2" w14:textId="77777777" w:rsidR="009D4CF3" w:rsidRDefault="00000000">
            <w:pPr>
              <w:pStyle w:val="TableText"/>
              <w:keepNext/>
              <w:jc w:val="center"/>
            </w:pPr>
            <w:r>
              <w:t>28</w:t>
            </w:r>
          </w:p>
        </w:tc>
      </w:tr>
      <w:tr w:rsidR="009D4CF3" w14:paraId="01035E61" w14:textId="77777777">
        <w:trPr>
          <w:cantSplit/>
          <w:jc w:val="center"/>
        </w:trPr>
        <w:tc>
          <w:tcPr>
            <w:tcW w:w="504" w:type="dxa"/>
            <w:vMerge w:val="restart"/>
          </w:tcPr>
          <w:p w14:paraId="7CAABD51" w14:textId="77777777" w:rsidR="009D4CF3" w:rsidRDefault="00000000">
            <w:pPr>
              <w:pStyle w:val="TableText"/>
              <w:keepNext/>
            </w:pPr>
            <w:r>
              <w:t>2</w:t>
            </w:r>
          </w:p>
        </w:tc>
        <w:tc>
          <w:tcPr>
            <w:tcW w:w="1152" w:type="dxa"/>
            <w:vMerge w:val="restart"/>
          </w:tcPr>
          <w:p w14:paraId="3D2DB88C" w14:textId="77777777" w:rsidR="009D4CF3" w:rsidRDefault="00000000">
            <w:pPr>
              <w:pStyle w:val="TableText"/>
              <w:keepNext/>
            </w:pPr>
            <w:r>
              <w:rPr>
                <w:i/>
              </w:rPr>
              <w:t>dèngzi</w:t>
            </w:r>
            <w:r>
              <w:br/>
              <w:t>“stool”</w:t>
            </w:r>
          </w:p>
        </w:tc>
        <w:tc>
          <w:tcPr>
            <w:tcW w:w="1368" w:type="dxa"/>
            <w:vMerge w:val="restart"/>
          </w:tcPr>
          <w:p w14:paraId="1E0DB0E6" w14:textId="77777777" w:rsidR="009D4CF3" w:rsidRDefault="00000000">
            <w:pPr>
              <w:pStyle w:val="TableText"/>
              <w:keepNext/>
            </w:pPr>
            <w:r>
              <w:rPr>
                <w:i/>
              </w:rPr>
              <w:t>fān</w:t>
            </w:r>
            <w:r>
              <w:br/>
              <w:t>“overturned”</w:t>
            </w:r>
          </w:p>
        </w:tc>
        <w:tc>
          <w:tcPr>
            <w:tcW w:w="1080" w:type="dxa"/>
          </w:tcPr>
          <w:p w14:paraId="0E481976" w14:textId="77777777" w:rsidR="009D4CF3" w:rsidRDefault="00000000">
            <w:pPr>
              <w:pStyle w:val="TableText"/>
              <w:keepNext/>
            </w:pPr>
            <w:r>
              <w:rPr>
                <w:i/>
              </w:rPr>
              <w:t>xiān</w:t>
            </w:r>
            <w:r>
              <w:br/>
              <w:t>“flip”</w:t>
            </w:r>
          </w:p>
        </w:tc>
        <w:tc>
          <w:tcPr>
            <w:tcW w:w="1368" w:type="dxa"/>
          </w:tcPr>
          <w:p w14:paraId="7F05764A" w14:textId="77777777" w:rsidR="009D4CF3" w:rsidRDefault="00000000">
            <w:pPr>
              <w:pStyle w:val="TableText"/>
              <w:keepNext/>
            </w:pPr>
            <w:r>
              <w:rPr>
                <w:i/>
              </w:rPr>
              <w:t>xiān-fān</w:t>
            </w:r>
          </w:p>
        </w:tc>
        <w:tc>
          <w:tcPr>
            <w:tcW w:w="1368" w:type="dxa"/>
          </w:tcPr>
          <w:p w14:paraId="0F97FE74" w14:textId="77777777" w:rsidR="009D4CF3" w:rsidRDefault="00000000">
            <w:pPr>
              <w:pStyle w:val="TableText"/>
              <w:keepNext/>
              <w:jc w:val="center"/>
            </w:pPr>
            <w:r>
              <w:t>83.60 (21.36)</w:t>
            </w:r>
          </w:p>
        </w:tc>
        <w:tc>
          <w:tcPr>
            <w:tcW w:w="1296" w:type="dxa"/>
          </w:tcPr>
          <w:p w14:paraId="55096E7F" w14:textId="77777777" w:rsidR="009D4CF3" w:rsidRDefault="00000000">
            <w:pPr>
              <w:pStyle w:val="TableText"/>
              <w:keepNext/>
              <w:jc w:val="center"/>
            </w:pPr>
            <w:r>
              <w:t>6.40 (0.94)</w:t>
            </w:r>
          </w:p>
        </w:tc>
        <w:tc>
          <w:tcPr>
            <w:tcW w:w="1224" w:type="dxa"/>
          </w:tcPr>
          <w:p w14:paraId="65E0ED7A" w14:textId="77777777" w:rsidR="009D4CF3" w:rsidRDefault="00000000">
            <w:pPr>
              <w:pStyle w:val="TableText"/>
              <w:keepNext/>
              <w:jc w:val="center"/>
            </w:pPr>
            <w:r>
              <w:t>1,780</w:t>
            </w:r>
          </w:p>
        </w:tc>
      </w:tr>
      <w:tr w:rsidR="009D4CF3" w14:paraId="59FC22DC" w14:textId="77777777">
        <w:trPr>
          <w:cantSplit/>
          <w:jc w:val="center"/>
        </w:trPr>
        <w:tc>
          <w:tcPr>
            <w:tcW w:w="504" w:type="dxa"/>
            <w:vMerge/>
          </w:tcPr>
          <w:p w14:paraId="794868C8" w14:textId="77777777" w:rsidR="009D4CF3" w:rsidRDefault="009D4CF3"/>
        </w:tc>
        <w:tc>
          <w:tcPr>
            <w:tcW w:w="1152" w:type="dxa"/>
            <w:vMerge/>
          </w:tcPr>
          <w:p w14:paraId="69E8ADAD" w14:textId="77777777" w:rsidR="009D4CF3" w:rsidRDefault="009D4CF3"/>
        </w:tc>
        <w:tc>
          <w:tcPr>
            <w:tcW w:w="1368" w:type="dxa"/>
            <w:vMerge/>
          </w:tcPr>
          <w:p w14:paraId="1E5BB651" w14:textId="77777777" w:rsidR="009D4CF3" w:rsidRDefault="009D4CF3"/>
        </w:tc>
        <w:tc>
          <w:tcPr>
            <w:tcW w:w="1080" w:type="dxa"/>
          </w:tcPr>
          <w:p w14:paraId="3F6E0D8E" w14:textId="77777777" w:rsidR="009D4CF3" w:rsidRDefault="00000000">
            <w:pPr>
              <w:pStyle w:val="TableText"/>
              <w:keepNext/>
            </w:pPr>
            <w:r>
              <w:rPr>
                <w:i/>
              </w:rPr>
              <w:t>pāi</w:t>
            </w:r>
            <w:r>
              <w:br/>
              <w:t>“slap”</w:t>
            </w:r>
          </w:p>
        </w:tc>
        <w:tc>
          <w:tcPr>
            <w:tcW w:w="1368" w:type="dxa"/>
          </w:tcPr>
          <w:p w14:paraId="7C0AC90A" w14:textId="77777777" w:rsidR="009D4CF3" w:rsidRDefault="00000000">
            <w:pPr>
              <w:pStyle w:val="TableText"/>
              <w:keepNext/>
            </w:pPr>
            <w:r>
              <w:rPr>
                <w:i/>
              </w:rPr>
              <w:t>pāi-fān</w:t>
            </w:r>
          </w:p>
        </w:tc>
        <w:tc>
          <w:tcPr>
            <w:tcW w:w="1368" w:type="dxa"/>
          </w:tcPr>
          <w:p w14:paraId="44CF7746" w14:textId="77777777" w:rsidR="009D4CF3" w:rsidRDefault="00000000">
            <w:pPr>
              <w:pStyle w:val="TableText"/>
              <w:keepNext/>
              <w:jc w:val="center"/>
            </w:pPr>
            <w:r>
              <w:t>15.70 (18.63)</w:t>
            </w:r>
          </w:p>
        </w:tc>
        <w:tc>
          <w:tcPr>
            <w:tcW w:w="1296" w:type="dxa"/>
          </w:tcPr>
          <w:p w14:paraId="661F8EF8" w14:textId="77777777" w:rsidR="009D4CF3" w:rsidRDefault="00000000">
            <w:pPr>
              <w:pStyle w:val="TableText"/>
              <w:keepNext/>
              <w:jc w:val="center"/>
            </w:pPr>
            <w:r>
              <w:t>1.80 (0.89)</w:t>
            </w:r>
          </w:p>
        </w:tc>
        <w:tc>
          <w:tcPr>
            <w:tcW w:w="1224" w:type="dxa"/>
          </w:tcPr>
          <w:p w14:paraId="63BCB86D" w14:textId="726E0534" w:rsidR="009D4CF3" w:rsidRPr="0055050F" w:rsidRDefault="00000000">
            <w:pPr>
              <w:pStyle w:val="TableText"/>
              <w:keepNext/>
              <w:jc w:val="center"/>
              <w:rPr>
                <w:rFonts w:eastAsiaTheme="minorEastAsia" w:hint="eastAsia"/>
              </w:rPr>
            </w:pPr>
            <w:r>
              <w:t>1</w:t>
            </w:r>
            <w:r w:rsidR="0055050F">
              <w:rPr>
                <w:rFonts w:eastAsiaTheme="minorEastAsia" w:hint="eastAsia"/>
              </w:rPr>
              <w:t>1</w:t>
            </w:r>
          </w:p>
        </w:tc>
      </w:tr>
      <w:tr w:rsidR="009D4CF3" w14:paraId="6D73522D" w14:textId="77777777">
        <w:trPr>
          <w:cantSplit/>
          <w:jc w:val="center"/>
        </w:trPr>
        <w:tc>
          <w:tcPr>
            <w:tcW w:w="504" w:type="dxa"/>
            <w:vMerge w:val="restart"/>
          </w:tcPr>
          <w:p w14:paraId="38D23607" w14:textId="77777777" w:rsidR="009D4CF3" w:rsidRDefault="00000000">
            <w:pPr>
              <w:pStyle w:val="TableText"/>
              <w:keepNext/>
            </w:pPr>
            <w:r>
              <w:t>3</w:t>
            </w:r>
          </w:p>
        </w:tc>
        <w:tc>
          <w:tcPr>
            <w:tcW w:w="1152" w:type="dxa"/>
            <w:vMerge w:val="restart"/>
          </w:tcPr>
          <w:p w14:paraId="736F77CB" w14:textId="77777777" w:rsidR="009D4CF3" w:rsidRDefault="00000000">
            <w:pPr>
              <w:pStyle w:val="TableText"/>
              <w:keepNext/>
            </w:pPr>
            <w:r>
              <w:rPr>
                <w:i/>
              </w:rPr>
              <w:t>shǒuzhǐ</w:t>
            </w:r>
            <w:r>
              <w:br/>
              <w:t>“finger”</w:t>
            </w:r>
          </w:p>
        </w:tc>
        <w:tc>
          <w:tcPr>
            <w:tcW w:w="1368" w:type="dxa"/>
            <w:vMerge w:val="restart"/>
          </w:tcPr>
          <w:p w14:paraId="16538B01" w14:textId="77777777" w:rsidR="009D4CF3" w:rsidRDefault="00000000">
            <w:pPr>
              <w:pStyle w:val="TableText"/>
              <w:keepNext/>
            </w:pPr>
            <w:r>
              <w:rPr>
                <w:i/>
              </w:rPr>
              <w:t>wān</w:t>
            </w:r>
            <w:r>
              <w:br/>
              <w:t>“bent”</w:t>
            </w:r>
          </w:p>
        </w:tc>
        <w:tc>
          <w:tcPr>
            <w:tcW w:w="1080" w:type="dxa"/>
          </w:tcPr>
          <w:p w14:paraId="1E085A57" w14:textId="77777777" w:rsidR="009D4CF3" w:rsidRDefault="00000000">
            <w:pPr>
              <w:pStyle w:val="TableText"/>
              <w:keepNext/>
            </w:pPr>
            <w:r>
              <w:rPr>
                <w:i/>
              </w:rPr>
              <w:t>bāi</w:t>
            </w:r>
            <w:r>
              <w:br/>
              <w:t>“twist”</w:t>
            </w:r>
          </w:p>
        </w:tc>
        <w:tc>
          <w:tcPr>
            <w:tcW w:w="1368" w:type="dxa"/>
          </w:tcPr>
          <w:p w14:paraId="417E7F31" w14:textId="77777777" w:rsidR="009D4CF3" w:rsidRDefault="00000000">
            <w:pPr>
              <w:pStyle w:val="TableText"/>
              <w:keepNext/>
            </w:pPr>
            <w:r>
              <w:rPr>
                <w:i/>
              </w:rPr>
              <w:t>bāi-wān</w:t>
            </w:r>
          </w:p>
        </w:tc>
        <w:tc>
          <w:tcPr>
            <w:tcW w:w="1368" w:type="dxa"/>
          </w:tcPr>
          <w:p w14:paraId="2CE24E7F" w14:textId="77777777" w:rsidR="009D4CF3" w:rsidRDefault="00000000">
            <w:pPr>
              <w:pStyle w:val="TableText"/>
              <w:keepNext/>
              <w:jc w:val="center"/>
            </w:pPr>
            <w:r>
              <w:t>63.20 (31.57)</w:t>
            </w:r>
          </w:p>
        </w:tc>
        <w:tc>
          <w:tcPr>
            <w:tcW w:w="1296" w:type="dxa"/>
          </w:tcPr>
          <w:p w14:paraId="00EA33DC" w14:textId="77777777" w:rsidR="009D4CF3" w:rsidRDefault="00000000">
            <w:pPr>
              <w:pStyle w:val="TableText"/>
              <w:keepNext/>
              <w:jc w:val="center"/>
            </w:pPr>
            <w:r>
              <w:t>5.95 (1.05)</w:t>
            </w:r>
          </w:p>
        </w:tc>
        <w:tc>
          <w:tcPr>
            <w:tcW w:w="1224" w:type="dxa"/>
          </w:tcPr>
          <w:p w14:paraId="33D42A9B" w14:textId="77777777" w:rsidR="009D4CF3" w:rsidRDefault="00000000">
            <w:pPr>
              <w:pStyle w:val="TableText"/>
              <w:keepNext/>
              <w:jc w:val="center"/>
            </w:pPr>
            <w:r>
              <w:t>130ᵇ</w:t>
            </w:r>
          </w:p>
        </w:tc>
      </w:tr>
      <w:tr w:rsidR="009D4CF3" w14:paraId="3B96AD8A" w14:textId="77777777">
        <w:trPr>
          <w:cantSplit/>
          <w:jc w:val="center"/>
        </w:trPr>
        <w:tc>
          <w:tcPr>
            <w:tcW w:w="504" w:type="dxa"/>
            <w:vMerge/>
          </w:tcPr>
          <w:p w14:paraId="7C2473D4" w14:textId="77777777" w:rsidR="009D4CF3" w:rsidRDefault="009D4CF3"/>
        </w:tc>
        <w:tc>
          <w:tcPr>
            <w:tcW w:w="1152" w:type="dxa"/>
            <w:vMerge/>
          </w:tcPr>
          <w:p w14:paraId="1D7C8EC5" w14:textId="77777777" w:rsidR="009D4CF3" w:rsidRDefault="009D4CF3"/>
        </w:tc>
        <w:tc>
          <w:tcPr>
            <w:tcW w:w="1368" w:type="dxa"/>
            <w:vMerge/>
          </w:tcPr>
          <w:p w14:paraId="4E7DCDB1" w14:textId="77777777" w:rsidR="009D4CF3" w:rsidRDefault="009D4CF3"/>
        </w:tc>
        <w:tc>
          <w:tcPr>
            <w:tcW w:w="1080" w:type="dxa"/>
          </w:tcPr>
          <w:p w14:paraId="4B48ECFF" w14:textId="77777777" w:rsidR="009D4CF3" w:rsidRDefault="00000000">
            <w:pPr>
              <w:pStyle w:val="TableText"/>
              <w:keepNext/>
            </w:pPr>
            <w:r>
              <w:rPr>
                <w:i/>
              </w:rPr>
              <w:t>àn</w:t>
            </w:r>
            <w:r>
              <w:br/>
              <w:t>“press”</w:t>
            </w:r>
          </w:p>
        </w:tc>
        <w:tc>
          <w:tcPr>
            <w:tcW w:w="1368" w:type="dxa"/>
          </w:tcPr>
          <w:p w14:paraId="47B8C97A" w14:textId="77777777" w:rsidR="009D4CF3" w:rsidRDefault="00000000">
            <w:pPr>
              <w:pStyle w:val="TableText"/>
              <w:keepNext/>
            </w:pPr>
            <w:r>
              <w:rPr>
                <w:i/>
              </w:rPr>
              <w:t>àn-wān</w:t>
            </w:r>
          </w:p>
        </w:tc>
        <w:tc>
          <w:tcPr>
            <w:tcW w:w="1368" w:type="dxa"/>
          </w:tcPr>
          <w:p w14:paraId="17163B2B" w14:textId="77777777" w:rsidR="009D4CF3" w:rsidRDefault="00000000">
            <w:pPr>
              <w:pStyle w:val="TableText"/>
              <w:keepNext/>
              <w:jc w:val="center"/>
            </w:pPr>
            <w:r>
              <w:t>27.70 (28.15)</w:t>
            </w:r>
          </w:p>
        </w:tc>
        <w:tc>
          <w:tcPr>
            <w:tcW w:w="1296" w:type="dxa"/>
          </w:tcPr>
          <w:p w14:paraId="4AE89F09" w14:textId="77777777" w:rsidR="009D4CF3" w:rsidRDefault="00000000">
            <w:pPr>
              <w:pStyle w:val="TableText"/>
              <w:keepNext/>
              <w:jc w:val="center"/>
            </w:pPr>
            <w:r>
              <w:t>3.05 (1.57)</w:t>
            </w:r>
          </w:p>
        </w:tc>
        <w:tc>
          <w:tcPr>
            <w:tcW w:w="1224" w:type="dxa"/>
          </w:tcPr>
          <w:p w14:paraId="592A01DF" w14:textId="77777777" w:rsidR="009D4CF3" w:rsidRDefault="00000000">
            <w:pPr>
              <w:pStyle w:val="TableText"/>
              <w:keepNext/>
              <w:jc w:val="center"/>
            </w:pPr>
            <w:r>
              <w:t>1</w:t>
            </w:r>
          </w:p>
        </w:tc>
      </w:tr>
      <w:tr w:rsidR="009D4CF3" w14:paraId="72936648" w14:textId="77777777">
        <w:trPr>
          <w:cantSplit/>
          <w:jc w:val="center"/>
        </w:trPr>
        <w:tc>
          <w:tcPr>
            <w:tcW w:w="504" w:type="dxa"/>
            <w:vMerge w:val="restart"/>
          </w:tcPr>
          <w:p w14:paraId="1E8C65B2" w14:textId="77777777" w:rsidR="009D4CF3" w:rsidRDefault="00000000">
            <w:pPr>
              <w:pStyle w:val="TableText"/>
              <w:keepNext/>
            </w:pPr>
            <w:r>
              <w:t>4</w:t>
            </w:r>
          </w:p>
        </w:tc>
        <w:tc>
          <w:tcPr>
            <w:tcW w:w="1152" w:type="dxa"/>
            <w:vMerge w:val="restart"/>
          </w:tcPr>
          <w:p w14:paraId="0B2619FC" w14:textId="77777777" w:rsidR="009D4CF3" w:rsidRDefault="00000000">
            <w:pPr>
              <w:pStyle w:val="TableText"/>
              <w:keepNext/>
            </w:pPr>
            <w:r>
              <w:rPr>
                <w:i/>
              </w:rPr>
              <w:t>zhǐ</w:t>
            </w:r>
            <w:r>
              <w:br/>
              <w:t>“paper”</w:t>
            </w:r>
          </w:p>
        </w:tc>
        <w:tc>
          <w:tcPr>
            <w:tcW w:w="1368" w:type="dxa"/>
            <w:vMerge w:val="restart"/>
          </w:tcPr>
          <w:p w14:paraId="4FBF947D" w14:textId="77777777" w:rsidR="009D4CF3" w:rsidRDefault="00000000">
            <w:pPr>
              <w:pStyle w:val="TableText"/>
              <w:keepNext/>
            </w:pPr>
            <w:r>
              <w:rPr>
                <w:i/>
              </w:rPr>
              <w:t>pò</w:t>
            </w:r>
            <w:r>
              <w:br/>
              <w:t>“torn”</w:t>
            </w:r>
          </w:p>
        </w:tc>
        <w:tc>
          <w:tcPr>
            <w:tcW w:w="1080" w:type="dxa"/>
          </w:tcPr>
          <w:p w14:paraId="03B0653E" w14:textId="77777777" w:rsidR="009D4CF3" w:rsidRDefault="00000000">
            <w:pPr>
              <w:pStyle w:val="TableText"/>
              <w:keepNext/>
            </w:pPr>
            <w:r>
              <w:rPr>
                <w:i/>
              </w:rPr>
              <w:t>sī</w:t>
            </w:r>
            <w:r>
              <w:br/>
              <w:t>“tear”</w:t>
            </w:r>
          </w:p>
        </w:tc>
        <w:tc>
          <w:tcPr>
            <w:tcW w:w="1368" w:type="dxa"/>
          </w:tcPr>
          <w:p w14:paraId="2128A93B" w14:textId="77777777" w:rsidR="009D4CF3" w:rsidRDefault="00000000">
            <w:pPr>
              <w:pStyle w:val="TableText"/>
              <w:keepNext/>
            </w:pPr>
            <w:r>
              <w:rPr>
                <w:i/>
              </w:rPr>
              <w:t>sī-pò</w:t>
            </w:r>
          </w:p>
        </w:tc>
        <w:tc>
          <w:tcPr>
            <w:tcW w:w="1368" w:type="dxa"/>
          </w:tcPr>
          <w:p w14:paraId="2FF10EA2" w14:textId="77777777" w:rsidR="009D4CF3" w:rsidRDefault="00000000">
            <w:pPr>
              <w:pStyle w:val="TableText"/>
              <w:keepNext/>
              <w:jc w:val="center"/>
            </w:pPr>
            <w:r>
              <w:t>86.65 (17.12)</w:t>
            </w:r>
          </w:p>
        </w:tc>
        <w:tc>
          <w:tcPr>
            <w:tcW w:w="1296" w:type="dxa"/>
          </w:tcPr>
          <w:p w14:paraId="4DCB1A4B" w14:textId="77777777" w:rsidR="009D4CF3" w:rsidRDefault="00000000">
            <w:pPr>
              <w:pStyle w:val="TableText"/>
              <w:keepNext/>
              <w:jc w:val="center"/>
            </w:pPr>
            <w:r>
              <w:t>6.50 (0.95)</w:t>
            </w:r>
          </w:p>
        </w:tc>
        <w:tc>
          <w:tcPr>
            <w:tcW w:w="1224" w:type="dxa"/>
          </w:tcPr>
          <w:p w14:paraId="03BC86FE" w14:textId="77777777" w:rsidR="009D4CF3" w:rsidRDefault="00000000">
            <w:pPr>
              <w:pStyle w:val="TableText"/>
              <w:keepNext/>
              <w:jc w:val="center"/>
            </w:pPr>
            <w:r>
              <w:t>2,350</w:t>
            </w:r>
          </w:p>
        </w:tc>
      </w:tr>
      <w:tr w:rsidR="009D4CF3" w14:paraId="7B99579C" w14:textId="77777777">
        <w:trPr>
          <w:cantSplit/>
          <w:jc w:val="center"/>
        </w:trPr>
        <w:tc>
          <w:tcPr>
            <w:tcW w:w="504" w:type="dxa"/>
            <w:vMerge/>
          </w:tcPr>
          <w:p w14:paraId="1BC7D836" w14:textId="77777777" w:rsidR="009D4CF3" w:rsidRDefault="009D4CF3"/>
        </w:tc>
        <w:tc>
          <w:tcPr>
            <w:tcW w:w="1152" w:type="dxa"/>
            <w:vMerge/>
          </w:tcPr>
          <w:p w14:paraId="5CBE536D" w14:textId="77777777" w:rsidR="009D4CF3" w:rsidRDefault="009D4CF3"/>
        </w:tc>
        <w:tc>
          <w:tcPr>
            <w:tcW w:w="1368" w:type="dxa"/>
            <w:vMerge/>
          </w:tcPr>
          <w:p w14:paraId="0C936533" w14:textId="77777777" w:rsidR="009D4CF3" w:rsidRDefault="009D4CF3"/>
        </w:tc>
        <w:tc>
          <w:tcPr>
            <w:tcW w:w="1080" w:type="dxa"/>
          </w:tcPr>
          <w:p w14:paraId="0D9E1EE3" w14:textId="77777777" w:rsidR="009D4CF3" w:rsidRDefault="00000000">
            <w:pPr>
              <w:pStyle w:val="TableText"/>
              <w:keepNext/>
            </w:pPr>
            <w:r>
              <w:rPr>
                <w:i/>
              </w:rPr>
              <w:t>zhuài</w:t>
            </w:r>
            <w:r>
              <w:br/>
              <w:t>“pull”</w:t>
            </w:r>
          </w:p>
        </w:tc>
        <w:tc>
          <w:tcPr>
            <w:tcW w:w="1368" w:type="dxa"/>
          </w:tcPr>
          <w:p w14:paraId="06139747" w14:textId="77777777" w:rsidR="009D4CF3" w:rsidRDefault="00000000">
            <w:pPr>
              <w:pStyle w:val="TableText"/>
              <w:keepNext/>
            </w:pPr>
            <w:r>
              <w:rPr>
                <w:i/>
              </w:rPr>
              <w:t>zhuài-pò</w:t>
            </w:r>
          </w:p>
        </w:tc>
        <w:tc>
          <w:tcPr>
            <w:tcW w:w="1368" w:type="dxa"/>
          </w:tcPr>
          <w:p w14:paraId="389F23BC" w14:textId="77777777" w:rsidR="009D4CF3" w:rsidRDefault="00000000">
            <w:pPr>
              <w:pStyle w:val="TableText"/>
              <w:keepNext/>
              <w:jc w:val="center"/>
            </w:pPr>
            <w:r>
              <w:t>50.40 (18.28)</w:t>
            </w:r>
          </w:p>
        </w:tc>
        <w:tc>
          <w:tcPr>
            <w:tcW w:w="1296" w:type="dxa"/>
          </w:tcPr>
          <w:p w14:paraId="4C2AABD4" w14:textId="77777777" w:rsidR="009D4CF3" w:rsidRDefault="00000000">
            <w:pPr>
              <w:pStyle w:val="TableText"/>
              <w:keepNext/>
              <w:jc w:val="center"/>
            </w:pPr>
            <w:r>
              <w:t>3.00 (1.30)</w:t>
            </w:r>
          </w:p>
        </w:tc>
        <w:tc>
          <w:tcPr>
            <w:tcW w:w="1224" w:type="dxa"/>
          </w:tcPr>
          <w:p w14:paraId="1C0EB743" w14:textId="77777777" w:rsidR="009D4CF3" w:rsidRDefault="00000000">
            <w:pPr>
              <w:pStyle w:val="TableText"/>
              <w:keepNext/>
              <w:jc w:val="center"/>
            </w:pPr>
            <w:r>
              <w:t>2</w:t>
            </w:r>
          </w:p>
        </w:tc>
      </w:tr>
      <w:tr w:rsidR="009D4CF3" w14:paraId="75571F1E" w14:textId="77777777">
        <w:trPr>
          <w:cantSplit/>
          <w:jc w:val="center"/>
        </w:trPr>
        <w:tc>
          <w:tcPr>
            <w:tcW w:w="504" w:type="dxa"/>
            <w:vMerge w:val="restart"/>
          </w:tcPr>
          <w:p w14:paraId="44C2E672" w14:textId="77777777" w:rsidR="009D4CF3" w:rsidRDefault="00000000">
            <w:pPr>
              <w:pStyle w:val="TableText"/>
              <w:keepNext/>
            </w:pPr>
            <w:r>
              <w:t>5</w:t>
            </w:r>
          </w:p>
        </w:tc>
        <w:tc>
          <w:tcPr>
            <w:tcW w:w="1152" w:type="dxa"/>
            <w:vMerge w:val="restart"/>
          </w:tcPr>
          <w:p w14:paraId="040F771D" w14:textId="77777777" w:rsidR="009D4CF3" w:rsidRDefault="00000000">
            <w:pPr>
              <w:pStyle w:val="TableText"/>
              <w:keepNext/>
            </w:pPr>
            <w:r>
              <w:rPr>
                <w:i/>
              </w:rPr>
              <w:t>làzhú</w:t>
            </w:r>
            <w:r>
              <w:br/>
              <w:t>“candle”</w:t>
            </w:r>
          </w:p>
        </w:tc>
        <w:tc>
          <w:tcPr>
            <w:tcW w:w="1368" w:type="dxa"/>
            <w:vMerge w:val="restart"/>
          </w:tcPr>
          <w:p w14:paraId="605942E3" w14:textId="77777777" w:rsidR="009D4CF3" w:rsidRDefault="00000000">
            <w:pPr>
              <w:pStyle w:val="TableText"/>
              <w:keepNext/>
            </w:pPr>
            <w:r>
              <w:rPr>
                <w:i/>
              </w:rPr>
              <w:t>miè</w:t>
            </w:r>
            <w:r>
              <w:br/>
              <w:t>“extinguished”</w:t>
            </w:r>
          </w:p>
        </w:tc>
        <w:tc>
          <w:tcPr>
            <w:tcW w:w="1080" w:type="dxa"/>
          </w:tcPr>
          <w:p w14:paraId="5B67F6E0" w14:textId="77777777" w:rsidR="009D4CF3" w:rsidRDefault="00000000">
            <w:pPr>
              <w:pStyle w:val="TableText"/>
              <w:keepNext/>
            </w:pPr>
            <w:r>
              <w:rPr>
                <w:i/>
              </w:rPr>
              <w:t>chuī</w:t>
            </w:r>
            <w:r>
              <w:br/>
              <w:t>“blow”</w:t>
            </w:r>
          </w:p>
        </w:tc>
        <w:tc>
          <w:tcPr>
            <w:tcW w:w="1368" w:type="dxa"/>
          </w:tcPr>
          <w:p w14:paraId="3E76C53E" w14:textId="77777777" w:rsidR="009D4CF3" w:rsidRDefault="00000000">
            <w:pPr>
              <w:pStyle w:val="TableText"/>
              <w:keepNext/>
            </w:pPr>
            <w:r>
              <w:rPr>
                <w:i/>
              </w:rPr>
              <w:t>chuī-miè</w:t>
            </w:r>
          </w:p>
        </w:tc>
        <w:tc>
          <w:tcPr>
            <w:tcW w:w="1368" w:type="dxa"/>
          </w:tcPr>
          <w:p w14:paraId="6D79BB81" w14:textId="77777777" w:rsidR="009D4CF3" w:rsidRDefault="00000000">
            <w:pPr>
              <w:pStyle w:val="TableText"/>
              <w:keepNext/>
              <w:jc w:val="center"/>
            </w:pPr>
            <w:r>
              <w:t>76.25 (17.39)</w:t>
            </w:r>
          </w:p>
        </w:tc>
        <w:tc>
          <w:tcPr>
            <w:tcW w:w="1296" w:type="dxa"/>
          </w:tcPr>
          <w:p w14:paraId="721B37D9" w14:textId="77777777" w:rsidR="009D4CF3" w:rsidRDefault="00000000">
            <w:pPr>
              <w:pStyle w:val="TableText"/>
              <w:keepNext/>
              <w:jc w:val="center"/>
            </w:pPr>
            <w:r>
              <w:t>6.65 (0.75)</w:t>
            </w:r>
          </w:p>
        </w:tc>
        <w:tc>
          <w:tcPr>
            <w:tcW w:w="1224" w:type="dxa"/>
          </w:tcPr>
          <w:p w14:paraId="193A86EE" w14:textId="77777777" w:rsidR="009D4CF3" w:rsidRDefault="00000000">
            <w:pPr>
              <w:pStyle w:val="TableText"/>
              <w:keepNext/>
              <w:jc w:val="center"/>
            </w:pPr>
            <w:r>
              <w:t>770</w:t>
            </w:r>
          </w:p>
        </w:tc>
      </w:tr>
      <w:tr w:rsidR="009D4CF3" w14:paraId="01F73C29" w14:textId="77777777">
        <w:trPr>
          <w:cantSplit/>
          <w:jc w:val="center"/>
        </w:trPr>
        <w:tc>
          <w:tcPr>
            <w:tcW w:w="504" w:type="dxa"/>
            <w:vMerge/>
          </w:tcPr>
          <w:p w14:paraId="2A51A6C1" w14:textId="77777777" w:rsidR="009D4CF3" w:rsidRDefault="009D4CF3"/>
        </w:tc>
        <w:tc>
          <w:tcPr>
            <w:tcW w:w="1152" w:type="dxa"/>
            <w:vMerge/>
          </w:tcPr>
          <w:p w14:paraId="19770079" w14:textId="77777777" w:rsidR="009D4CF3" w:rsidRDefault="009D4CF3"/>
        </w:tc>
        <w:tc>
          <w:tcPr>
            <w:tcW w:w="1368" w:type="dxa"/>
            <w:vMerge/>
          </w:tcPr>
          <w:p w14:paraId="0559EAF1" w14:textId="77777777" w:rsidR="009D4CF3" w:rsidRDefault="009D4CF3"/>
        </w:tc>
        <w:tc>
          <w:tcPr>
            <w:tcW w:w="1080" w:type="dxa"/>
          </w:tcPr>
          <w:p w14:paraId="6596CFE1" w14:textId="77777777" w:rsidR="009D4CF3" w:rsidRDefault="00000000">
            <w:pPr>
              <w:pStyle w:val="TableText"/>
              <w:keepNext/>
            </w:pPr>
            <w:r>
              <w:rPr>
                <w:i/>
              </w:rPr>
              <w:t>huī</w:t>
            </w:r>
            <w:r>
              <w:br/>
              <w:t>“wave”</w:t>
            </w:r>
          </w:p>
        </w:tc>
        <w:tc>
          <w:tcPr>
            <w:tcW w:w="1368" w:type="dxa"/>
          </w:tcPr>
          <w:p w14:paraId="65B1CAA5" w14:textId="77777777" w:rsidR="009D4CF3" w:rsidRDefault="00000000">
            <w:pPr>
              <w:pStyle w:val="TableText"/>
              <w:keepNext/>
            </w:pPr>
            <w:r>
              <w:rPr>
                <w:i/>
              </w:rPr>
              <w:t>huī-miè</w:t>
            </w:r>
          </w:p>
        </w:tc>
        <w:tc>
          <w:tcPr>
            <w:tcW w:w="1368" w:type="dxa"/>
          </w:tcPr>
          <w:p w14:paraId="70B808F6" w14:textId="77777777" w:rsidR="009D4CF3" w:rsidRDefault="00000000">
            <w:pPr>
              <w:pStyle w:val="TableText"/>
              <w:keepNext/>
              <w:jc w:val="center"/>
            </w:pPr>
            <w:r>
              <w:t>40.45 (22.25)</w:t>
            </w:r>
          </w:p>
        </w:tc>
        <w:tc>
          <w:tcPr>
            <w:tcW w:w="1296" w:type="dxa"/>
          </w:tcPr>
          <w:p w14:paraId="5F3CAA38" w14:textId="77777777" w:rsidR="009D4CF3" w:rsidRDefault="00000000">
            <w:pPr>
              <w:pStyle w:val="TableText"/>
              <w:keepNext/>
              <w:jc w:val="center"/>
            </w:pPr>
            <w:r>
              <w:t>2.70 (1.30)</w:t>
            </w:r>
          </w:p>
        </w:tc>
        <w:tc>
          <w:tcPr>
            <w:tcW w:w="1224" w:type="dxa"/>
          </w:tcPr>
          <w:p w14:paraId="355B1311" w14:textId="77777777" w:rsidR="009D4CF3" w:rsidRDefault="00000000">
            <w:pPr>
              <w:pStyle w:val="TableText"/>
              <w:keepNext/>
              <w:jc w:val="center"/>
            </w:pPr>
            <w:r>
              <w:t>0</w:t>
            </w:r>
          </w:p>
        </w:tc>
      </w:tr>
      <w:tr w:rsidR="009D4CF3" w14:paraId="626B8425" w14:textId="77777777">
        <w:trPr>
          <w:cantSplit/>
          <w:jc w:val="center"/>
        </w:trPr>
        <w:tc>
          <w:tcPr>
            <w:tcW w:w="504" w:type="dxa"/>
            <w:vMerge w:val="restart"/>
          </w:tcPr>
          <w:p w14:paraId="04CBA13A" w14:textId="77777777" w:rsidR="009D4CF3" w:rsidRDefault="00000000">
            <w:pPr>
              <w:pStyle w:val="TableText"/>
              <w:keepNext/>
            </w:pPr>
            <w:r>
              <w:t>6</w:t>
            </w:r>
          </w:p>
        </w:tc>
        <w:tc>
          <w:tcPr>
            <w:tcW w:w="1152" w:type="dxa"/>
            <w:vMerge w:val="restart"/>
          </w:tcPr>
          <w:p w14:paraId="12F4E79F" w14:textId="77777777" w:rsidR="009D4CF3" w:rsidRDefault="00000000">
            <w:pPr>
              <w:pStyle w:val="TableText"/>
              <w:keepNext/>
            </w:pPr>
            <w:r>
              <w:rPr>
                <w:i/>
              </w:rPr>
              <w:t>píngzi</w:t>
            </w:r>
            <w:r>
              <w:br/>
              <w:t>“bottle”</w:t>
            </w:r>
          </w:p>
        </w:tc>
        <w:tc>
          <w:tcPr>
            <w:tcW w:w="1368" w:type="dxa"/>
            <w:vMerge w:val="restart"/>
          </w:tcPr>
          <w:p w14:paraId="5866760C" w14:textId="77777777" w:rsidR="009D4CF3" w:rsidRDefault="00000000">
            <w:pPr>
              <w:pStyle w:val="TableText"/>
              <w:keepNext/>
            </w:pPr>
            <w:r>
              <w:rPr>
                <w:i/>
              </w:rPr>
              <w:t>dǎo</w:t>
            </w:r>
            <w:r>
              <w:br/>
              <w:t>“fallen”</w:t>
            </w:r>
          </w:p>
        </w:tc>
        <w:tc>
          <w:tcPr>
            <w:tcW w:w="1080" w:type="dxa"/>
          </w:tcPr>
          <w:p w14:paraId="6DCB9D42" w14:textId="77777777" w:rsidR="009D4CF3" w:rsidRDefault="00000000">
            <w:pPr>
              <w:pStyle w:val="TableText"/>
              <w:keepNext/>
            </w:pPr>
            <w:r>
              <w:rPr>
                <w:i/>
              </w:rPr>
              <w:t>tī</w:t>
            </w:r>
            <w:r>
              <w:br/>
              <w:t>“kick”</w:t>
            </w:r>
          </w:p>
        </w:tc>
        <w:tc>
          <w:tcPr>
            <w:tcW w:w="1368" w:type="dxa"/>
          </w:tcPr>
          <w:p w14:paraId="375CEEE7" w14:textId="77777777" w:rsidR="009D4CF3" w:rsidRDefault="00000000">
            <w:pPr>
              <w:pStyle w:val="TableText"/>
              <w:keepNext/>
            </w:pPr>
            <w:r>
              <w:rPr>
                <w:i/>
              </w:rPr>
              <w:t>tī-dǎo</w:t>
            </w:r>
          </w:p>
        </w:tc>
        <w:tc>
          <w:tcPr>
            <w:tcW w:w="1368" w:type="dxa"/>
          </w:tcPr>
          <w:p w14:paraId="0345EC90" w14:textId="77777777" w:rsidR="009D4CF3" w:rsidRDefault="00000000">
            <w:pPr>
              <w:pStyle w:val="TableText"/>
              <w:keepNext/>
              <w:jc w:val="center"/>
            </w:pPr>
            <w:r>
              <w:t>88.05 (12.70)</w:t>
            </w:r>
          </w:p>
        </w:tc>
        <w:tc>
          <w:tcPr>
            <w:tcW w:w="1296" w:type="dxa"/>
          </w:tcPr>
          <w:p w14:paraId="2C90FF38" w14:textId="77777777" w:rsidR="009D4CF3" w:rsidRDefault="00000000">
            <w:pPr>
              <w:pStyle w:val="TableText"/>
              <w:keepNext/>
              <w:jc w:val="center"/>
            </w:pPr>
            <w:r>
              <w:t>5.75 (1.02)</w:t>
            </w:r>
          </w:p>
        </w:tc>
        <w:tc>
          <w:tcPr>
            <w:tcW w:w="1224" w:type="dxa"/>
          </w:tcPr>
          <w:p w14:paraId="519BD5F2" w14:textId="77777777" w:rsidR="009D4CF3" w:rsidRDefault="00000000">
            <w:pPr>
              <w:pStyle w:val="TableText"/>
              <w:keepNext/>
              <w:jc w:val="center"/>
            </w:pPr>
            <w:r>
              <w:t>480</w:t>
            </w:r>
          </w:p>
        </w:tc>
      </w:tr>
      <w:tr w:rsidR="009D4CF3" w14:paraId="1000BD0A" w14:textId="77777777">
        <w:trPr>
          <w:cantSplit/>
          <w:jc w:val="center"/>
        </w:trPr>
        <w:tc>
          <w:tcPr>
            <w:tcW w:w="504" w:type="dxa"/>
            <w:vMerge/>
          </w:tcPr>
          <w:p w14:paraId="51B97A79" w14:textId="77777777" w:rsidR="009D4CF3" w:rsidRDefault="009D4CF3"/>
        </w:tc>
        <w:tc>
          <w:tcPr>
            <w:tcW w:w="1152" w:type="dxa"/>
            <w:vMerge/>
          </w:tcPr>
          <w:p w14:paraId="539C5789" w14:textId="77777777" w:rsidR="009D4CF3" w:rsidRDefault="009D4CF3"/>
        </w:tc>
        <w:tc>
          <w:tcPr>
            <w:tcW w:w="1368" w:type="dxa"/>
            <w:vMerge/>
          </w:tcPr>
          <w:p w14:paraId="2FD70BF8" w14:textId="77777777" w:rsidR="009D4CF3" w:rsidRDefault="009D4CF3"/>
        </w:tc>
        <w:tc>
          <w:tcPr>
            <w:tcW w:w="1080" w:type="dxa"/>
          </w:tcPr>
          <w:p w14:paraId="67F303D4" w14:textId="77777777" w:rsidR="009D4CF3" w:rsidRDefault="00000000">
            <w:pPr>
              <w:pStyle w:val="TableText"/>
              <w:keepNext/>
            </w:pPr>
            <w:r>
              <w:rPr>
                <w:i/>
              </w:rPr>
              <w:t>tuī</w:t>
            </w:r>
            <w:r>
              <w:br/>
              <w:t>“push”</w:t>
            </w:r>
          </w:p>
        </w:tc>
        <w:tc>
          <w:tcPr>
            <w:tcW w:w="1368" w:type="dxa"/>
          </w:tcPr>
          <w:p w14:paraId="70E6DAF1" w14:textId="77777777" w:rsidR="009D4CF3" w:rsidRDefault="00000000">
            <w:pPr>
              <w:pStyle w:val="TableText"/>
              <w:keepNext/>
            </w:pPr>
            <w:r>
              <w:rPr>
                <w:i/>
              </w:rPr>
              <w:t>tuī-dǎo</w:t>
            </w:r>
          </w:p>
        </w:tc>
        <w:tc>
          <w:tcPr>
            <w:tcW w:w="1368" w:type="dxa"/>
          </w:tcPr>
          <w:p w14:paraId="636A4436" w14:textId="77777777" w:rsidR="009D4CF3" w:rsidRDefault="00000000">
            <w:pPr>
              <w:pStyle w:val="TableText"/>
              <w:keepNext/>
              <w:jc w:val="center"/>
            </w:pPr>
            <w:r>
              <w:t>56.65 (26.29)</w:t>
            </w:r>
          </w:p>
        </w:tc>
        <w:tc>
          <w:tcPr>
            <w:tcW w:w="1296" w:type="dxa"/>
          </w:tcPr>
          <w:p w14:paraId="7EC7C4C6" w14:textId="77777777" w:rsidR="009D4CF3" w:rsidRDefault="00000000">
            <w:pPr>
              <w:pStyle w:val="TableText"/>
              <w:keepNext/>
              <w:jc w:val="center"/>
            </w:pPr>
            <w:r>
              <w:t>4.45 (1.64)</w:t>
            </w:r>
          </w:p>
        </w:tc>
        <w:tc>
          <w:tcPr>
            <w:tcW w:w="1224" w:type="dxa"/>
          </w:tcPr>
          <w:p w14:paraId="50D4D51E" w14:textId="77777777" w:rsidR="009D4CF3" w:rsidRDefault="00000000">
            <w:pPr>
              <w:pStyle w:val="TableText"/>
              <w:keepNext/>
              <w:jc w:val="center"/>
            </w:pPr>
            <w:r>
              <w:t>5,750ᶜ</w:t>
            </w:r>
          </w:p>
        </w:tc>
      </w:tr>
      <w:tr w:rsidR="009D4CF3" w14:paraId="7B00035B" w14:textId="77777777">
        <w:trPr>
          <w:cantSplit/>
          <w:jc w:val="center"/>
        </w:trPr>
        <w:tc>
          <w:tcPr>
            <w:tcW w:w="504" w:type="dxa"/>
            <w:vMerge w:val="restart"/>
          </w:tcPr>
          <w:p w14:paraId="0760D3A5" w14:textId="77777777" w:rsidR="009D4CF3" w:rsidRDefault="00000000">
            <w:pPr>
              <w:pStyle w:val="TableText"/>
              <w:keepNext/>
            </w:pPr>
            <w:r>
              <w:t>7ᵃ</w:t>
            </w:r>
          </w:p>
        </w:tc>
        <w:tc>
          <w:tcPr>
            <w:tcW w:w="1152" w:type="dxa"/>
            <w:vMerge w:val="restart"/>
          </w:tcPr>
          <w:p w14:paraId="28A41E76" w14:textId="77777777" w:rsidR="009D4CF3" w:rsidRDefault="00000000">
            <w:pPr>
              <w:pStyle w:val="TableText"/>
              <w:keepNext/>
            </w:pPr>
            <w:r>
              <w:rPr>
                <w:i/>
              </w:rPr>
              <w:t>Xiǎo Wáng</w:t>
            </w:r>
            <w:r>
              <w:br/>
              <w:t>“a person”</w:t>
            </w:r>
          </w:p>
        </w:tc>
        <w:tc>
          <w:tcPr>
            <w:tcW w:w="1368" w:type="dxa"/>
            <w:vMerge w:val="restart"/>
          </w:tcPr>
          <w:p w14:paraId="3B314D37" w14:textId="77777777" w:rsidR="009D4CF3" w:rsidRDefault="00000000">
            <w:pPr>
              <w:pStyle w:val="TableText"/>
              <w:keepNext/>
            </w:pPr>
            <w:r>
              <w:rPr>
                <w:i/>
              </w:rPr>
              <w:t>xǐng</w:t>
            </w:r>
            <w:r>
              <w:br/>
              <w:t>“awake”</w:t>
            </w:r>
          </w:p>
        </w:tc>
        <w:tc>
          <w:tcPr>
            <w:tcW w:w="1080" w:type="dxa"/>
          </w:tcPr>
          <w:p w14:paraId="6D6C013B" w14:textId="77777777" w:rsidR="009D4CF3" w:rsidRDefault="00000000">
            <w:pPr>
              <w:pStyle w:val="TableText"/>
              <w:keepNext/>
            </w:pPr>
            <w:r>
              <w:rPr>
                <w:i/>
              </w:rPr>
              <w:t>qiā</w:t>
            </w:r>
            <w:r>
              <w:br/>
              <w:t>“pinch”</w:t>
            </w:r>
          </w:p>
        </w:tc>
        <w:tc>
          <w:tcPr>
            <w:tcW w:w="1368" w:type="dxa"/>
          </w:tcPr>
          <w:p w14:paraId="637834DC" w14:textId="77777777" w:rsidR="009D4CF3" w:rsidRDefault="00000000">
            <w:pPr>
              <w:pStyle w:val="TableText"/>
              <w:keepNext/>
            </w:pPr>
            <w:r>
              <w:rPr>
                <w:i/>
              </w:rPr>
              <w:t>qiā-xǐng</w:t>
            </w:r>
          </w:p>
        </w:tc>
        <w:tc>
          <w:tcPr>
            <w:tcW w:w="1368" w:type="dxa"/>
          </w:tcPr>
          <w:p w14:paraId="1590C2A7" w14:textId="77777777" w:rsidR="009D4CF3" w:rsidRDefault="00000000">
            <w:pPr>
              <w:pStyle w:val="TableText"/>
              <w:keepNext/>
              <w:jc w:val="center"/>
            </w:pPr>
            <w:r>
              <w:t>70.30 (20.83)</w:t>
            </w:r>
          </w:p>
        </w:tc>
        <w:tc>
          <w:tcPr>
            <w:tcW w:w="1296" w:type="dxa"/>
          </w:tcPr>
          <w:p w14:paraId="6D883544" w14:textId="77777777" w:rsidR="009D4CF3" w:rsidRDefault="00000000">
            <w:pPr>
              <w:pStyle w:val="TableText"/>
              <w:keepNext/>
              <w:jc w:val="center"/>
            </w:pPr>
            <w:r>
              <w:t>5.05 (1.54)</w:t>
            </w:r>
          </w:p>
        </w:tc>
        <w:tc>
          <w:tcPr>
            <w:tcW w:w="1224" w:type="dxa"/>
          </w:tcPr>
          <w:p w14:paraId="1D705F2D" w14:textId="77777777" w:rsidR="009D4CF3" w:rsidRDefault="00000000">
            <w:pPr>
              <w:pStyle w:val="TableText"/>
              <w:keepNext/>
              <w:jc w:val="center"/>
            </w:pPr>
            <w:r>
              <w:t>7</w:t>
            </w:r>
          </w:p>
        </w:tc>
      </w:tr>
      <w:tr w:rsidR="009D4CF3" w14:paraId="01581BF0" w14:textId="77777777">
        <w:trPr>
          <w:cantSplit/>
          <w:jc w:val="center"/>
        </w:trPr>
        <w:tc>
          <w:tcPr>
            <w:tcW w:w="504" w:type="dxa"/>
            <w:vMerge/>
          </w:tcPr>
          <w:p w14:paraId="4A8DBB3C" w14:textId="77777777" w:rsidR="009D4CF3" w:rsidRDefault="009D4CF3"/>
        </w:tc>
        <w:tc>
          <w:tcPr>
            <w:tcW w:w="1152" w:type="dxa"/>
            <w:vMerge/>
          </w:tcPr>
          <w:p w14:paraId="3A54CC55" w14:textId="77777777" w:rsidR="009D4CF3" w:rsidRDefault="009D4CF3"/>
        </w:tc>
        <w:tc>
          <w:tcPr>
            <w:tcW w:w="1368" w:type="dxa"/>
            <w:vMerge/>
          </w:tcPr>
          <w:p w14:paraId="622FA30E" w14:textId="77777777" w:rsidR="009D4CF3" w:rsidRDefault="009D4CF3"/>
        </w:tc>
        <w:tc>
          <w:tcPr>
            <w:tcW w:w="1080" w:type="dxa"/>
          </w:tcPr>
          <w:p w14:paraId="588F498B" w14:textId="77777777" w:rsidR="009D4CF3" w:rsidRDefault="00000000">
            <w:pPr>
              <w:pStyle w:val="TableText"/>
              <w:keepNext/>
            </w:pPr>
            <w:r>
              <w:rPr>
                <w:i/>
              </w:rPr>
              <w:t>jiào</w:t>
            </w:r>
            <w:r>
              <w:br/>
              <w:t>“call”</w:t>
            </w:r>
          </w:p>
        </w:tc>
        <w:tc>
          <w:tcPr>
            <w:tcW w:w="1368" w:type="dxa"/>
          </w:tcPr>
          <w:p w14:paraId="0C054433" w14:textId="77777777" w:rsidR="009D4CF3" w:rsidRDefault="00000000">
            <w:pPr>
              <w:pStyle w:val="TableText"/>
              <w:keepNext/>
            </w:pPr>
            <w:r>
              <w:rPr>
                <w:i/>
              </w:rPr>
              <w:t>jiào-xǐng</w:t>
            </w:r>
          </w:p>
        </w:tc>
        <w:tc>
          <w:tcPr>
            <w:tcW w:w="1368" w:type="dxa"/>
          </w:tcPr>
          <w:p w14:paraId="4115FED1" w14:textId="77777777" w:rsidR="009D4CF3" w:rsidRDefault="00000000">
            <w:pPr>
              <w:pStyle w:val="TableText"/>
              <w:keepNext/>
              <w:jc w:val="center"/>
            </w:pPr>
            <w:r>
              <w:t>55.95 (20.78)</w:t>
            </w:r>
          </w:p>
        </w:tc>
        <w:tc>
          <w:tcPr>
            <w:tcW w:w="1296" w:type="dxa"/>
          </w:tcPr>
          <w:p w14:paraId="03DD6ACD" w14:textId="77777777" w:rsidR="009D4CF3" w:rsidRDefault="00000000">
            <w:pPr>
              <w:pStyle w:val="TableText"/>
              <w:keepNext/>
              <w:jc w:val="center"/>
            </w:pPr>
            <w:r>
              <w:t>6.05 (1.15)</w:t>
            </w:r>
          </w:p>
        </w:tc>
        <w:tc>
          <w:tcPr>
            <w:tcW w:w="1224" w:type="dxa"/>
          </w:tcPr>
          <w:p w14:paraId="6056E9E7" w14:textId="77777777" w:rsidR="009D4CF3" w:rsidRDefault="00000000">
            <w:pPr>
              <w:pStyle w:val="TableText"/>
              <w:keepNext/>
              <w:jc w:val="center"/>
            </w:pPr>
            <w:r>
              <w:t>4,560</w:t>
            </w:r>
          </w:p>
        </w:tc>
      </w:tr>
      <w:tr w:rsidR="009D4CF3" w14:paraId="5626623E" w14:textId="77777777">
        <w:trPr>
          <w:cantSplit/>
          <w:jc w:val="center"/>
        </w:trPr>
        <w:tc>
          <w:tcPr>
            <w:tcW w:w="504" w:type="dxa"/>
            <w:vMerge w:val="restart"/>
          </w:tcPr>
          <w:p w14:paraId="2C347193" w14:textId="77777777" w:rsidR="009D4CF3" w:rsidRDefault="00000000">
            <w:pPr>
              <w:pStyle w:val="TableText"/>
              <w:keepNext/>
            </w:pPr>
            <w:r>
              <w:lastRenderedPageBreak/>
              <w:t>8ᵃ</w:t>
            </w:r>
          </w:p>
        </w:tc>
        <w:tc>
          <w:tcPr>
            <w:tcW w:w="1152" w:type="dxa"/>
            <w:vMerge w:val="restart"/>
          </w:tcPr>
          <w:p w14:paraId="72F5CE65" w14:textId="77777777" w:rsidR="009D4CF3" w:rsidRDefault="00000000">
            <w:pPr>
              <w:pStyle w:val="TableText"/>
              <w:keepNext/>
            </w:pPr>
            <w:r>
              <w:rPr>
                <w:i/>
              </w:rPr>
              <w:t>shǒuzhǎng</w:t>
            </w:r>
            <w:r>
              <w:br/>
              <w:t>“palm”</w:t>
            </w:r>
          </w:p>
        </w:tc>
        <w:tc>
          <w:tcPr>
            <w:tcW w:w="1368" w:type="dxa"/>
            <w:vMerge w:val="restart"/>
          </w:tcPr>
          <w:p w14:paraId="5AFBF4A9" w14:textId="77777777" w:rsidR="009D4CF3" w:rsidRDefault="00000000">
            <w:pPr>
              <w:pStyle w:val="TableText"/>
              <w:keepNext/>
            </w:pPr>
            <w:r>
              <w:rPr>
                <w:i/>
              </w:rPr>
              <w:t>hóng</w:t>
            </w:r>
            <w:r>
              <w:br/>
              <w:t>“red”</w:t>
            </w:r>
          </w:p>
        </w:tc>
        <w:tc>
          <w:tcPr>
            <w:tcW w:w="1080" w:type="dxa"/>
          </w:tcPr>
          <w:p w14:paraId="0EE5D249" w14:textId="77777777" w:rsidR="009D4CF3" w:rsidRDefault="00000000">
            <w:pPr>
              <w:pStyle w:val="TableText"/>
              <w:keepNext/>
            </w:pPr>
            <w:r>
              <w:rPr>
                <w:i/>
              </w:rPr>
              <w:t>tú</w:t>
            </w:r>
            <w:r>
              <w:br/>
              <w:t>“paint”</w:t>
            </w:r>
          </w:p>
        </w:tc>
        <w:tc>
          <w:tcPr>
            <w:tcW w:w="1368" w:type="dxa"/>
          </w:tcPr>
          <w:p w14:paraId="21C0FAA9" w14:textId="77777777" w:rsidR="009D4CF3" w:rsidRDefault="00000000">
            <w:pPr>
              <w:pStyle w:val="TableText"/>
              <w:keepNext/>
            </w:pPr>
            <w:r>
              <w:rPr>
                <w:i/>
              </w:rPr>
              <w:t>tú-hóng</w:t>
            </w:r>
          </w:p>
        </w:tc>
        <w:tc>
          <w:tcPr>
            <w:tcW w:w="1368" w:type="dxa"/>
          </w:tcPr>
          <w:p w14:paraId="035CEB75" w14:textId="77777777" w:rsidR="009D4CF3" w:rsidRDefault="00000000">
            <w:pPr>
              <w:pStyle w:val="TableText"/>
              <w:keepNext/>
              <w:jc w:val="center"/>
            </w:pPr>
            <w:r>
              <w:t>66.30 (30.68)</w:t>
            </w:r>
          </w:p>
        </w:tc>
        <w:tc>
          <w:tcPr>
            <w:tcW w:w="1296" w:type="dxa"/>
          </w:tcPr>
          <w:p w14:paraId="1EC1949D" w14:textId="77777777" w:rsidR="009D4CF3" w:rsidRDefault="00000000">
            <w:pPr>
              <w:pStyle w:val="TableText"/>
              <w:keepNext/>
              <w:jc w:val="center"/>
            </w:pPr>
            <w:r>
              <w:t>4.70 (2.25)</w:t>
            </w:r>
          </w:p>
        </w:tc>
        <w:tc>
          <w:tcPr>
            <w:tcW w:w="1224" w:type="dxa"/>
          </w:tcPr>
          <w:p w14:paraId="036F0BDA" w14:textId="77777777" w:rsidR="009D4CF3" w:rsidRDefault="00000000">
            <w:pPr>
              <w:pStyle w:val="TableText"/>
              <w:keepNext/>
              <w:jc w:val="center"/>
            </w:pPr>
            <w:r>
              <w:t>110</w:t>
            </w:r>
          </w:p>
        </w:tc>
      </w:tr>
      <w:tr w:rsidR="009D4CF3" w14:paraId="253BEAAA" w14:textId="77777777">
        <w:trPr>
          <w:cantSplit/>
          <w:jc w:val="center"/>
        </w:trPr>
        <w:tc>
          <w:tcPr>
            <w:tcW w:w="504" w:type="dxa"/>
            <w:vMerge/>
          </w:tcPr>
          <w:p w14:paraId="1993B945" w14:textId="77777777" w:rsidR="009D4CF3" w:rsidRDefault="009D4CF3"/>
        </w:tc>
        <w:tc>
          <w:tcPr>
            <w:tcW w:w="1152" w:type="dxa"/>
            <w:vMerge/>
          </w:tcPr>
          <w:p w14:paraId="53375040" w14:textId="77777777" w:rsidR="009D4CF3" w:rsidRDefault="009D4CF3"/>
        </w:tc>
        <w:tc>
          <w:tcPr>
            <w:tcW w:w="1368" w:type="dxa"/>
            <w:vMerge/>
          </w:tcPr>
          <w:p w14:paraId="0C0E8C55" w14:textId="77777777" w:rsidR="009D4CF3" w:rsidRDefault="009D4CF3"/>
        </w:tc>
        <w:tc>
          <w:tcPr>
            <w:tcW w:w="1080" w:type="dxa"/>
          </w:tcPr>
          <w:p w14:paraId="252A4DA1" w14:textId="77777777" w:rsidR="009D4CF3" w:rsidRDefault="00000000">
            <w:pPr>
              <w:pStyle w:val="TableText"/>
              <w:keepNext/>
            </w:pPr>
            <w:r>
              <w:rPr>
                <w:i/>
              </w:rPr>
              <w:t>náo</w:t>
            </w:r>
            <w:r>
              <w:br/>
              <w:t>“scratch”</w:t>
            </w:r>
          </w:p>
        </w:tc>
        <w:tc>
          <w:tcPr>
            <w:tcW w:w="1368" w:type="dxa"/>
          </w:tcPr>
          <w:p w14:paraId="62F0EE88" w14:textId="77777777" w:rsidR="009D4CF3" w:rsidRDefault="00000000">
            <w:pPr>
              <w:pStyle w:val="TableText"/>
              <w:keepNext/>
            </w:pPr>
            <w:r>
              <w:rPr>
                <w:i/>
              </w:rPr>
              <w:t>náo-hóng</w:t>
            </w:r>
          </w:p>
        </w:tc>
        <w:tc>
          <w:tcPr>
            <w:tcW w:w="1368" w:type="dxa"/>
          </w:tcPr>
          <w:p w14:paraId="4FFBB777" w14:textId="77777777" w:rsidR="009D4CF3" w:rsidRDefault="00000000">
            <w:pPr>
              <w:pStyle w:val="TableText"/>
              <w:keepNext/>
              <w:jc w:val="center"/>
            </w:pPr>
            <w:r>
              <w:t>49.90 (25.37)</w:t>
            </w:r>
          </w:p>
        </w:tc>
        <w:tc>
          <w:tcPr>
            <w:tcW w:w="1296" w:type="dxa"/>
          </w:tcPr>
          <w:p w14:paraId="06BA24D4" w14:textId="77777777" w:rsidR="009D4CF3" w:rsidRDefault="00000000">
            <w:pPr>
              <w:pStyle w:val="TableText"/>
              <w:keepNext/>
              <w:jc w:val="center"/>
            </w:pPr>
            <w:r>
              <w:t>4.25 (1.55)</w:t>
            </w:r>
          </w:p>
        </w:tc>
        <w:tc>
          <w:tcPr>
            <w:tcW w:w="1224" w:type="dxa"/>
          </w:tcPr>
          <w:p w14:paraId="2E238F44" w14:textId="77777777" w:rsidR="009D4CF3" w:rsidRDefault="00000000">
            <w:pPr>
              <w:pStyle w:val="TableText"/>
              <w:keepNext/>
              <w:jc w:val="center"/>
            </w:pPr>
            <w:r>
              <w:t>1</w:t>
            </w:r>
          </w:p>
        </w:tc>
      </w:tr>
      <w:tr w:rsidR="009D4CF3" w14:paraId="2ECF61BF" w14:textId="77777777">
        <w:trPr>
          <w:cantSplit/>
          <w:jc w:val="center"/>
        </w:trPr>
        <w:tc>
          <w:tcPr>
            <w:tcW w:w="504" w:type="dxa"/>
            <w:vMerge w:val="restart"/>
          </w:tcPr>
          <w:p w14:paraId="06A62FC3" w14:textId="77777777" w:rsidR="009D4CF3" w:rsidRDefault="00000000">
            <w:pPr>
              <w:pStyle w:val="TableText"/>
              <w:keepNext/>
            </w:pPr>
            <w:r>
              <w:t>9</w:t>
            </w:r>
          </w:p>
        </w:tc>
        <w:tc>
          <w:tcPr>
            <w:tcW w:w="1152" w:type="dxa"/>
            <w:vMerge w:val="restart"/>
          </w:tcPr>
          <w:p w14:paraId="30830191" w14:textId="77777777" w:rsidR="009D4CF3" w:rsidRDefault="00000000">
            <w:pPr>
              <w:pStyle w:val="TableText"/>
              <w:keepNext/>
            </w:pPr>
            <w:r>
              <w:rPr>
                <w:i/>
              </w:rPr>
              <w:t>jìngzi</w:t>
            </w:r>
            <w:r>
              <w:br/>
              <w:t>“mirror”</w:t>
            </w:r>
          </w:p>
        </w:tc>
        <w:tc>
          <w:tcPr>
            <w:tcW w:w="1368" w:type="dxa"/>
            <w:vMerge w:val="restart"/>
          </w:tcPr>
          <w:p w14:paraId="2CDFD438" w14:textId="77777777" w:rsidR="009D4CF3" w:rsidRDefault="00000000">
            <w:pPr>
              <w:pStyle w:val="TableText"/>
              <w:keepNext/>
            </w:pPr>
            <w:r>
              <w:rPr>
                <w:i/>
              </w:rPr>
              <w:t>gānjìng</w:t>
            </w:r>
            <w:r>
              <w:br/>
              <w:t>“clean”</w:t>
            </w:r>
          </w:p>
        </w:tc>
        <w:tc>
          <w:tcPr>
            <w:tcW w:w="1080" w:type="dxa"/>
          </w:tcPr>
          <w:p w14:paraId="21DD3932" w14:textId="77777777" w:rsidR="009D4CF3" w:rsidRDefault="00000000">
            <w:pPr>
              <w:pStyle w:val="TableText"/>
              <w:keepNext/>
            </w:pPr>
            <w:r>
              <w:rPr>
                <w:i/>
              </w:rPr>
              <w:t>cā</w:t>
            </w:r>
            <w:r>
              <w:br/>
              <w:t>“wipe”</w:t>
            </w:r>
          </w:p>
        </w:tc>
        <w:tc>
          <w:tcPr>
            <w:tcW w:w="1368" w:type="dxa"/>
          </w:tcPr>
          <w:p w14:paraId="3EE7E644" w14:textId="77777777" w:rsidR="009D4CF3" w:rsidRDefault="00000000">
            <w:pPr>
              <w:pStyle w:val="TableText"/>
              <w:keepNext/>
            </w:pPr>
            <w:r>
              <w:rPr>
                <w:i/>
              </w:rPr>
              <w:t>cā-gānjìng</w:t>
            </w:r>
          </w:p>
        </w:tc>
        <w:tc>
          <w:tcPr>
            <w:tcW w:w="1368" w:type="dxa"/>
          </w:tcPr>
          <w:p w14:paraId="617993E5" w14:textId="77777777" w:rsidR="009D4CF3" w:rsidRDefault="00000000">
            <w:pPr>
              <w:pStyle w:val="TableText"/>
              <w:keepNext/>
              <w:jc w:val="center"/>
            </w:pPr>
            <w:r>
              <w:t>77.15 (19.68)</w:t>
            </w:r>
          </w:p>
        </w:tc>
        <w:tc>
          <w:tcPr>
            <w:tcW w:w="1296" w:type="dxa"/>
          </w:tcPr>
          <w:p w14:paraId="102BA630" w14:textId="77777777" w:rsidR="009D4CF3" w:rsidRDefault="00000000">
            <w:pPr>
              <w:pStyle w:val="TableText"/>
              <w:keepNext/>
              <w:jc w:val="center"/>
            </w:pPr>
            <w:r>
              <w:t>6.65 (0.75)</w:t>
            </w:r>
          </w:p>
        </w:tc>
        <w:tc>
          <w:tcPr>
            <w:tcW w:w="1224" w:type="dxa"/>
          </w:tcPr>
          <w:p w14:paraId="75934BC9" w14:textId="77777777" w:rsidR="009D4CF3" w:rsidRDefault="00000000">
            <w:pPr>
              <w:pStyle w:val="TableText"/>
              <w:keepNext/>
              <w:jc w:val="center"/>
            </w:pPr>
            <w:r>
              <w:t>1,840</w:t>
            </w:r>
          </w:p>
        </w:tc>
      </w:tr>
      <w:tr w:rsidR="009D4CF3" w14:paraId="57988472" w14:textId="77777777">
        <w:trPr>
          <w:cantSplit/>
          <w:jc w:val="center"/>
        </w:trPr>
        <w:tc>
          <w:tcPr>
            <w:tcW w:w="504" w:type="dxa"/>
            <w:vMerge/>
          </w:tcPr>
          <w:p w14:paraId="64E59C73" w14:textId="77777777" w:rsidR="009D4CF3" w:rsidRDefault="009D4CF3"/>
        </w:tc>
        <w:tc>
          <w:tcPr>
            <w:tcW w:w="1152" w:type="dxa"/>
            <w:vMerge/>
          </w:tcPr>
          <w:p w14:paraId="57AFCD3B" w14:textId="77777777" w:rsidR="009D4CF3" w:rsidRDefault="009D4CF3"/>
        </w:tc>
        <w:tc>
          <w:tcPr>
            <w:tcW w:w="1368" w:type="dxa"/>
            <w:vMerge/>
          </w:tcPr>
          <w:p w14:paraId="0E612807" w14:textId="77777777" w:rsidR="009D4CF3" w:rsidRDefault="009D4CF3"/>
        </w:tc>
        <w:tc>
          <w:tcPr>
            <w:tcW w:w="1080" w:type="dxa"/>
          </w:tcPr>
          <w:p w14:paraId="404954FB" w14:textId="77777777" w:rsidR="009D4CF3" w:rsidRDefault="00000000">
            <w:pPr>
              <w:pStyle w:val="TableText"/>
              <w:keepNext/>
            </w:pPr>
            <w:r>
              <w:rPr>
                <w:i/>
              </w:rPr>
              <w:t>chōng</w:t>
            </w:r>
            <w:r>
              <w:br/>
              <w:t>“rinse”</w:t>
            </w:r>
          </w:p>
        </w:tc>
        <w:tc>
          <w:tcPr>
            <w:tcW w:w="1368" w:type="dxa"/>
          </w:tcPr>
          <w:p w14:paraId="584E031D" w14:textId="77777777" w:rsidR="009D4CF3" w:rsidRDefault="00000000">
            <w:pPr>
              <w:pStyle w:val="TableText"/>
              <w:keepNext/>
            </w:pPr>
            <w:r>
              <w:rPr>
                <w:i/>
              </w:rPr>
              <w:t>chōng-gānjìng</w:t>
            </w:r>
          </w:p>
        </w:tc>
        <w:tc>
          <w:tcPr>
            <w:tcW w:w="1368" w:type="dxa"/>
          </w:tcPr>
          <w:p w14:paraId="43DA58E2" w14:textId="77777777" w:rsidR="009D4CF3" w:rsidRDefault="00000000">
            <w:pPr>
              <w:pStyle w:val="TableText"/>
              <w:keepNext/>
              <w:jc w:val="center"/>
            </w:pPr>
            <w:r>
              <w:t>43.20 (21.14)</w:t>
            </w:r>
          </w:p>
        </w:tc>
        <w:tc>
          <w:tcPr>
            <w:tcW w:w="1296" w:type="dxa"/>
          </w:tcPr>
          <w:p w14:paraId="2A90BEC7" w14:textId="77777777" w:rsidR="009D4CF3" w:rsidRDefault="00000000">
            <w:pPr>
              <w:pStyle w:val="TableText"/>
              <w:keepNext/>
              <w:jc w:val="center"/>
            </w:pPr>
            <w:r>
              <w:t>2.95 (1.67)</w:t>
            </w:r>
          </w:p>
        </w:tc>
        <w:tc>
          <w:tcPr>
            <w:tcW w:w="1224" w:type="dxa"/>
          </w:tcPr>
          <w:p w14:paraId="0DF3A89F" w14:textId="77777777" w:rsidR="009D4CF3" w:rsidRDefault="00000000">
            <w:pPr>
              <w:pStyle w:val="TableText"/>
              <w:keepNext/>
              <w:jc w:val="center"/>
            </w:pPr>
            <w:r>
              <w:t>310</w:t>
            </w:r>
          </w:p>
        </w:tc>
      </w:tr>
      <w:tr w:rsidR="009D4CF3" w14:paraId="07647901" w14:textId="77777777">
        <w:trPr>
          <w:cantSplit/>
          <w:jc w:val="center"/>
        </w:trPr>
        <w:tc>
          <w:tcPr>
            <w:tcW w:w="504" w:type="dxa"/>
            <w:vMerge w:val="restart"/>
          </w:tcPr>
          <w:p w14:paraId="111DFB75" w14:textId="77777777" w:rsidR="009D4CF3" w:rsidRDefault="00000000">
            <w:pPr>
              <w:pStyle w:val="TableText"/>
              <w:keepNext/>
            </w:pPr>
            <w:r>
              <w:t>10</w:t>
            </w:r>
          </w:p>
        </w:tc>
        <w:tc>
          <w:tcPr>
            <w:tcW w:w="1152" w:type="dxa"/>
            <w:vMerge w:val="restart"/>
          </w:tcPr>
          <w:p w14:paraId="46447C83" w14:textId="77777777" w:rsidR="009D4CF3" w:rsidRDefault="00000000">
            <w:pPr>
              <w:pStyle w:val="TableText"/>
              <w:keepNext/>
            </w:pPr>
            <w:r>
              <w:rPr>
                <w:i/>
              </w:rPr>
              <w:t>hétao</w:t>
            </w:r>
            <w:r>
              <w:br/>
              <w:t>“walnut”</w:t>
            </w:r>
          </w:p>
        </w:tc>
        <w:tc>
          <w:tcPr>
            <w:tcW w:w="1368" w:type="dxa"/>
            <w:vMerge w:val="restart"/>
          </w:tcPr>
          <w:p w14:paraId="4C699298" w14:textId="77777777" w:rsidR="009D4CF3" w:rsidRDefault="00000000">
            <w:pPr>
              <w:pStyle w:val="TableText"/>
              <w:keepNext/>
            </w:pPr>
            <w:r>
              <w:rPr>
                <w:i/>
              </w:rPr>
              <w:t>suì</w:t>
            </w:r>
            <w:r>
              <w:br/>
              <w:t>“broken”</w:t>
            </w:r>
          </w:p>
        </w:tc>
        <w:tc>
          <w:tcPr>
            <w:tcW w:w="1080" w:type="dxa"/>
          </w:tcPr>
          <w:p w14:paraId="0929A55E" w14:textId="77777777" w:rsidR="009D4CF3" w:rsidRDefault="00000000">
            <w:pPr>
              <w:pStyle w:val="TableText"/>
              <w:keepNext/>
            </w:pPr>
            <w:r>
              <w:rPr>
                <w:i/>
              </w:rPr>
              <w:t>jiā</w:t>
            </w:r>
            <w:r>
              <w:br/>
              <w:t>“clamp”</w:t>
            </w:r>
          </w:p>
        </w:tc>
        <w:tc>
          <w:tcPr>
            <w:tcW w:w="1368" w:type="dxa"/>
          </w:tcPr>
          <w:p w14:paraId="1DB9B9F4" w14:textId="77777777" w:rsidR="009D4CF3" w:rsidRDefault="00000000">
            <w:pPr>
              <w:pStyle w:val="TableText"/>
              <w:keepNext/>
            </w:pPr>
            <w:r>
              <w:rPr>
                <w:i/>
              </w:rPr>
              <w:t>jiā-suì</w:t>
            </w:r>
          </w:p>
        </w:tc>
        <w:tc>
          <w:tcPr>
            <w:tcW w:w="1368" w:type="dxa"/>
          </w:tcPr>
          <w:p w14:paraId="791F7EF5" w14:textId="77777777" w:rsidR="009D4CF3" w:rsidRDefault="00000000">
            <w:pPr>
              <w:pStyle w:val="TableText"/>
              <w:keepNext/>
              <w:jc w:val="center"/>
            </w:pPr>
            <w:r>
              <w:t>72.30 (27.01)</w:t>
            </w:r>
          </w:p>
        </w:tc>
        <w:tc>
          <w:tcPr>
            <w:tcW w:w="1296" w:type="dxa"/>
          </w:tcPr>
          <w:p w14:paraId="48567B7C" w14:textId="77777777" w:rsidR="009D4CF3" w:rsidRDefault="00000000">
            <w:pPr>
              <w:pStyle w:val="TableText"/>
              <w:keepNext/>
              <w:jc w:val="center"/>
            </w:pPr>
            <w:r>
              <w:t>6.20 (1.11)</w:t>
            </w:r>
          </w:p>
        </w:tc>
        <w:tc>
          <w:tcPr>
            <w:tcW w:w="1224" w:type="dxa"/>
          </w:tcPr>
          <w:p w14:paraId="38CC0EE7" w14:textId="77777777" w:rsidR="009D4CF3" w:rsidRDefault="00000000">
            <w:pPr>
              <w:pStyle w:val="TableText"/>
              <w:keepNext/>
              <w:jc w:val="center"/>
            </w:pPr>
            <w:r>
              <w:t>48</w:t>
            </w:r>
          </w:p>
        </w:tc>
      </w:tr>
      <w:tr w:rsidR="009D4CF3" w14:paraId="4C647CB7" w14:textId="77777777">
        <w:trPr>
          <w:cantSplit/>
          <w:jc w:val="center"/>
        </w:trPr>
        <w:tc>
          <w:tcPr>
            <w:tcW w:w="504" w:type="dxa"/>
            <w:vMerge/>
          </w:tcPr>
          <w:p w14:paraId="3482E0F9" w14:textId="77777777" w:rsidR="009D4CF3" w:rsidRDefault="009D4CF3"/>
        </w:tc>
        <w:tc>
          <w:tcPr>
            <w:tcW w:w="1152" w:type="dxa"/>
            <w:vMerge/>
          </w:tcPr>
          <w:p w14:paraId="1BFD807C" w14:textId="77777777" w:rsidR="009D4CF3" w:rsidRDefault="009D4CF3"/>
        </w:tc>
        <w:tc>
          <w:tcPr>
            <w:tcW w:w="1368" w:type="dxa"/>
            <w:vMerge/>
          </w:tcPr>
          <w:p w14:paraId="6736C839" w14:textId="77777777" w:rsidR="009D4CF3" w:rsidRDefault="009D4CF3"/>
        </w:tc>
        <w:tc>
          <w:tcPr>
            <w:tcW w:w="1080" w:type="dxa"/>
          </w:tcPr>
          <w:p w14:paraId="3BAC0EDF" w14:textId="77777777" w:rsidR="009D4CF3" w:rsidRDefault="00000000">
            <w:pPr>
              <w:pStyle w:val="TableText"/>
            </w:pPr>
            <w:r>
              <w:rPr>
                <w:i/>
              </w:rPr>
              <w:t>chuí</w:t>
            </w:r>
            <w:r>
              <w:br/>
              <w:t>“hammer”</w:t>
            </w:r>
          </w:p>
        </w:tc>
        <w:tc>
          <w:tcPr>
            <w:tcW w:w="1368" w:type="dxa"/>
          </w:tcPr>
          <w:p w14:paraId="52C34485" w14:textId="77777777" w:rsidR="009D4CF3" w:rsidRDefault="00000000">
            <w:pPr>
              <w:pStyle w:val="TableText"/>
            </w:pPr>
            <w:r>
              <w:rPr>
                <w:i/>
              </w:rPr>
              <w:t>chuí-suì</w:t>
            </w:r>
          </w:p>
        </w:tc>
        <w:tc>
          <w:tcPr>
            <w:tcW w:w="1368" w:type="dxa"/>
          </w:tcPr>
          <w:p w14:paraId="28289568" w14:textId="77777777" w:rsidR="009D4CF3" w:rsidRDefault="00000000">
            <w:pPr>
              <w:pStyle w:val="TableText"/>
              <w:jc w:val="center"/>
            </w:pPr>
            <w:r>
              <w:t>42.15 (26.52)</w:t>
            </w:r>
          </w:p>
        </w:tc>
        <w:tc>
          <w:tcPr>
            <w:tcW w:w="1296" w:type="dxa"/>
          </w:tcPr>
          <w:p w14:paraId="37F8909F" w14:textId="77777777" w:rsidR="009D4CF3" w:rsidRDefault="00000000">
            <w:pPr>
              <w:pStyle w:val="TableText"/>
              <w:jc w:val="center"/>
            </w:pPr>
            <w:r>
              <w:t>4.35 (1.81)</w:t>
            </w:r>
          </w:p>
        </w:tc>
        <w:tc>
          <w:tcPr>
            <w:tcW w:w="1224" w:type="dxa"/>
          </w:tcPr>
          <w:p w14:paraId="55D0F56F" w14:textId="77777777" w:rsidR="009D4CF3" w:rsidRDefault="00000000">
            <w:pPr>
              <w:pStyle w:val="TableText"/>
              <w:jc w:val="center"/>
            </w:pPr>
            <w:r>
              <w:t>13</w:t>
            </w:r>
          </w:p>
        </w:tc>
      </w:tr>
    </w:tbl>
    <w:p w14:paraId="461146B5" w14:textId="764D5272" w:rsidR="009D4CF3" w:rsidRPr="0055050F" w:rsidRDefault="00000000">
      <w:pPr>
        <w:pStyle w:val="TableNote"/>
        <w:rPr>
          <w:rFonts w:eastAsiaTheme="minorEastAsia" w:hint="eastAsia"/>
        </w:rPr>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(see text). ᵃ Excluded from the analyses of Experiment 1 (see Pair Selection); set labels follow the original design. ᵇ Mostly figurative uses. ᶜ Includes many abstract uses.</w:t>
      </w:r>
    </w:p>
    <w:p w14:paraId="1FD25982" w14:textId="3047BDFB" w:rsidR="009D4CF3" w:rsidRPr="0055050F" w:rsidRDefault="00000000">
      <w:pPr>
        <w:rPr>
          <w:rFonts w:eastAsiaTheme="minorEastAsia" w:hint="eastAsia"/>
        </w:rPr>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 </w:t>
      </w:r>
      <w:r>
        <w:rPr>
          <w:highlight w:val="yellow"/>
        </w:rPr>
        <w:t xml:space="preserve">⟦Figure 1：full-result 与 zero-result </w:t>
      </w:r>
      <w:proofErr w:type="spellStart"/>
      <w:r>
        <w:rPr>
          <w:highlight w:val="yellow"/>
        </w:rPr>
        <w:t>视频的截图</w:t>
      </w:r>
      <w:proofErr w:type="spellEnd"/>
      <w:r>
        <w:rPr>
          <w:highlight w:val="yellow"/>
        </w:rPr>
        <w:t>⟧</w:t>
      </w:r>
    </w:p>
    <w:p w14:paraId="63C09C34" w14:textId="77777777" w:rsidR="009D4CF3" w:rsidRDefault="00000000">
      <w:pPr>
        <w:pStyle w:val="Heading2"/>
      </w:pPr>
      <w:r>
        <w:t>Verb–Video Correspondence</w:t>
      </w:r>
    </w:p>
    <w:p w14:paraId="6F3557C5" w14:textId="77777777" w:rsidR="009D4CF3" w:rsidRDefault="00000000">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the 10 videos of one set and described each in a full sentence. If the intended V1 did not appear, the participant was asked for </w:t>
      </w:r>
      <w:r>
        <w:lastRenderedPageBreak/>
        <w:t xml:space="preserve">another description; if it still did not appear after two attempts, the participant rated how natural the intended V1 was as a description of the action (1 = </w:t>
      </w:r>
      <w:r>
        <w:rPr>
          <w:i/>
        </w:rPr>
        <w:t>very unnatural</w:t>
      </w:r>
      <w:r>
        <w:t xml:space="preserve">, 5 = </w:t>
      </w:r>
      <w:r>
        <w:rPr>
          <w:i/>
        </w:rPr>
        <w:t>very natural</w:t>
      </w:r>
      <w:r>
        <w:t>). The intended V1 appeared in 62% of first descriptions and in 72% of all descriptions; when it did not appear, it was rated as natural (</w:t>
      </w:r>
      <w:r>
        <w:rPr>
          <w:i/>
        </w:rPr>
        <w:t>M</w:t>
      </w:r>
      <w:r>
        <w:t xml:space="preserve"> = 4.32, </w:t>
      </w:r>
      <w:r>
        <w:rPr>
          <w:i/>
        </w:rPr>
        <w:t>SD</w:t>
      </w:r>
      <w:r>
        <w:t xml:space="preserve"> = 0.79, range = 2.67–5). </w:t>
      </w:r>
      <w:r>
        <w:rPr>
          <w:highlight w:val="yellow"/>
        </w:rPr>
        <w:t>⟦逐项数值放附录⟧</w:t>
      </w:r>
      <w:r>
        <w:t xml:space="preserve"> These item-level values are used as a covariate in a sensitivity analysis of Experiment 1.</w:t>
      </w:r>
    </w:p>
    <w:p w14:paraId="6C751B72" w14:textId="77777777" w:rsidR="009D4CF3" w:rsidRDefault="00000000">
      <w:pPr>
        <w:pStyle w:val="Heading2"/>
      </w:pPr>
      <w:r>
        <w:t>Adult Ratings of Result Likelihood and Action Typicality</w:t>
      </w:r>
    </w:p>
    <w:p w14:paraId="63AAE06B" w14:textId="2B606D43" w:rsidR="009D4CF3" w:rsidRPr="00C77721" w:rsidRDefault="00000000">
      <w:pPr>
        <w:rPr>
          <w:rFonts w:eastAsiaTheme="minorEastAsia" w:hint="eastAsia"/>
        </w:rPr>
      </w:pPr>
      <w:r>
        <w:t xml:space="preserve">Twenty native speakers of Mandarin (21–35 years, </w:t>
      </w:r>
      <w:r>
        <w:rPr>
          <w:i/>
        </w:rPr>
        <w:t>M</w:t>
      </w:r>
      <w:r>
        <w:t xml:space="preserve"> = 28.2) </w:t>
      </w:r>
      <w:r>
        <w:rPr>
          <w:highlight w:val="yellow"/>
        </w:rPr>
        <w:t>⟦性别与招募方式待补⟧</w:t>
      </w:r>
      <w:r>
        <w:t xml:space="preserve"> completed an online questionnaire of about 5 min, in which they rated each of the 20 V1–object expressions in two separate blocks. After a consent statement and questions about their language background (native language, frequency of Mandarin use, and English proficiency), they were told that the questions had no correct answers and were asked to respond on the basis of their everyday experience and first intuition. In the likelihood block, each item presented a perfective sentence containing the V1–object expression, followed by a question about the target result, for example, </w:t>
      </w:r>
      <w:r>
        <w:rPr>
          <w:i/>
        </w:rPr>
        <w:t>Xiǎo Lǐ sī-le zhǐ</w:t>
      </w:r>
      <w:r>
        <w:t xml:space="preserve"> “Xiao Li tore the paper. How likely do you think it is that the paper ended up torn?” The instructions asked participants to judge, on the basis of the sentence and their everyday experience, how likely it was that the stated result eventually occurred. They typed a number from 0 to 100, where 0 was labeled </w:t>
      </w:r>
      <w:r>
        <w:rPr>
          <w:i/>
        </w:rPr>
        <w:t>cannot happen</w:t>
      </w:r>
      <w:r>
        <w:t xml:space="preserve"> and 100 </w:t>
      </w:r>
      <w:r>
        <w:rPr>
          <w:i/>
        </w:rPr>
        <w:t>will certainly happen</w:t>
      </w:r>
      <w:r>
        <w:t xml:space="preserve">. In the typicality block, the instructions stated that each item first named a result that someone wanted to achieve and then an action that could be used to achieve it, and asked participants to rate how typical the action was as a way of achieving that result, for example, “Suppose Xiao Li wants to break the walnut. How typical is </w:t>
      </w:r>
      <w:r>
        <w:rPr>
          <w:i/>
        </w:rPr>
        <w:t>jiā hétao</w:t>
      </w:r>
      <w:r>
        <w:t xml:space="preserve"> ‘clamping the walnut’ as a way of doing this?” Responses were given on a 7-point scale whose endpoints were labeled 1 (</w:t>
      </w:r>
      <w:r>
        <w:rPr>
          <w:i/>
        </w:rPr>
        <w:t>very atypical</w:t>
      </w:r>
      <w:r>
        <w:t>) and 7 (</w:t>
      </w:r>
      <w:r>
        <w:rPr>
          <w:i/>
        </w:rPr>
        <w:t>very typical</w:t>
      </w:r>
      <w:r>
        <w:t>); the intermediate points were numbered but not labeled. The likelihood items thus presented each expression in the same perfective form as the V1 questions of Experiment 1. Because the ratings were collected for sentences naming the expressions, they characterize the action–result relation that each expression describes, not the particular videos.</w:t>
      </w:r>
    </w:p>
    <w:p w14:paraId="63AAE06B" w14:textId="2B606D43" w:rsidR="009D4CF3" w:rsidRPr="00C77721" w:rsidRDefault="00000000">
      <w:pPr>
        <w:rPr>
          <w:rFonts w:eastAsiaTheme="minorEastAsia" w:hint="eastAsia"/>
        </w:rPr>
      </w:pPr>
      <w:r>
        <w:t>Four lists were constructed, and five raters completed each list. In all lists, the 20 likelihood items preceded the 20 typicality items. Within each block, the 10 expressions of one set were presented first and the 10 expressions of the other set second, with the pairs in the same order in both halves, so that the two members of each pair were always separated by nine other items. The stronger-association set came first in Lists 1 and 3, and the weaker-association set came first in Lists 2 and 4. Four different pair orders were used, two for Lists 1 and 2 and two for Lists 3 and 4, and the two blocks of each list used different orders. Because the likelihood block always came first, the typicality judgments may have been influenced by the preceding likelihood judgments. All raters completed all items, and no ratings were excluded. The ratings were collected after the child data had been collected and initially analyzed with the original Strong/Weak coding; the raters did not take part in the child experiments and received no information about children’s responses.</w:t>
      </w:r>
    </w:p>
    <w:p w14:paraId="2D705A64" w14:textId="77777777" w:rsidR="009D4CF3" w:rsidRDefault="00000000">
      <w:r>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w:t>
      </w:r>
      <w:r>
        <w:lastRenderedPageBreak/>
        <w:t xml:space="preserve">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14:paraId="4A4868EC" w14:textId="77777777" w:rsidR="009D4CF3" w:rsidRDefault="00000000">
      <w:pPr>
        <w:pStyle w:val="Heading2"/>
      </w:pPr>
      <w:r>
        <w:t>Pair Selection</w:t>
      </w:r>
    </w:p>
    <w:p w14:paraId="56EE0139" w14:textId="77777777" w:rsidR="009D4CF3" w:rsidRDefault="00000000">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assigned to the two sets. The two pairs remained in the experimental lists, so all participants saw all 10 pairs, but their trials are excluded from the analyses of Experiment 1. The original design included all 10 pairs, and an initial analysis of the child data used all of them with the original Strong/Weak coding. The adult ratings were collected, and Pairs 7 and 8 excluded, after that analysis. The exclusion criterion refers only to the rating data, not to children’s responses, but because both </w:t>
      </w:r>
      <w:r>
        <w:lastRenderedPageBreak/>
        <w:t>steps followed an inspection of the child data, analyses with all 10 pairs are reported alongside the main analyses of Experiment 1 (see Sensitivity Analyses).</w:t>
      </w:r>
    </w:p>
    <w:p w14:paraId="03B1B93C" w14:textId="77777777" w:rsidR="009D4CF3" w:rsidRDefault="00000000">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14:paraId="541BD7E3" w14:textId="77777777" w:rsidR="009D4CF3" w:rsidRDefault="00000000">
      <w:pPr>
        <w:pStyle w:val="Heading2"/>
      </w:pPr>
      <w:r>
        <w:t>Corpus Frequency of the Corresponding RVCs</w:t>
      </w:r>
    </w:p>
    <w:p w14:paraId="4B35F5EF" w14:textId="77777777" w:rsidR="009D4CF3" w:rsidRDefault="00000000">
      <w:r>
        <w:t xml:space="preserve">We also examined how conventional each RVC is. As noted in the Introduction, whether a V1 and a V2 combine depends on how the action named by V1 relates to the result named by V2. If the two actions in a pair differ in their association with the target result, this difference should also be reflected in the language, such that the RVC formed with the stronger-association V1 is the more conventional one. Corpus frequency thus provides a check on the contrast between the paired V1s that does not rely on the adult ratings, although conventionality concerns the RVC as an expression rather than the action–result relation itself. We therefore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(e.g., </w:t>
      </w:r>
      <w:r>
        <w:rPr>
          <w:i/>
        </w:rPr>
        <w:t>sī-pò liǎn</w:t>
      </w:r>
      <w:r>
        <w:t xml:space="preserve"> “tear-torn face,” “fall out with someone”) were counted, because they also indicate that the combination is conventional. For the RVCs checked by sampling, the number of documents was estimated by multiplying the raw document count by the proportion of checked matches that were resultative uses; for the other RVCs, all matches were checked. Document counts are shown in Table 1.</w:t>
      </w:r>
    </w:p>
    <w:p w14:paraId="70289CD3" w14:textId="77777777" w:rsidR="009D4CF3" w:rsidRDefault="00000000">
      <w:r>
        <w:lastRenderedPageBreak/>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14:paraId="61154409" w14:textId="77777777" w:rsidR="009D4CF3" w:rsidRDefault="00000000">
      <w:pPr>
        <w:pStyle w:val="Heading1"/>
      </w:pPr>
      <w:r>
        <w:t>Experiment 1: Comprehension</w:t>
      </w:r>
    </w:p>
    <w:p w14:paraId="07DFF101" w14:textId="77777777" w:rsidR="009D4CF3" w:rsidRDefault="00000000">
      <w:pPr>
        <w:pStyle w:val="Heading2"/>
      </w:pPr>
      <w:r>
        <w:t>Method</w:t>
      </w:r>
    </w:p>
    <w:p w14:paraId="352D5DC6" w14:textId="77777777" w:rsidR="009D4CF3" w:rsidRDefault="00000000">
      <w:pPr>
        <w:pStyle w:val="Heading3"/>
      </w:pPr>
      <w:r>
        <w:t>Participants</w:t>
      </w:r>
    </w:p>
    <w:p w14:paraId="2873476D" w14:textId="77777777" w:rsidR="009D4CF3" w:rsidRDefault="00000000">
      <w:r>
        <w:t xml:space="preserve">Participants were 32 four-year-olds (14 female; </w:t>
      </w:r>
      <w:r>
        <w:rPr>
          <w:highlight w:val="yellow"/>
        </w:rPr>
        <w:t>⟦age range in y;m, M⟧</w:t>
      </w:r>
      <w:r>
        <w:t xml:space="preserve">), 32 five-year-olds (15 female; </w:t>
      </w:r>
      <w:r>
        <w:rPr>
          <w:highlight w:val="yellow"/>
        </w:rPr>
        <w:t>⟦age range in y;m, M⟧</w:t>
      </w:r>
      <w:r>
        <w:t xml:space="preserve">), and 40 adults (18 female; 18.3–37.2 years, </w:t>
      </w:r>
      <w:r>
        <w:rPr>
          <w:i/>
        </w:rPr>
        <w:t>M</w:t>
      </w:r>
      <w:r>
        <w:t xml:space="preserve"> = 23.1).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w:t>
      </w:r>
      <w:r>
        <w:lastRenderedPageBreak/>
        <w:t>collection at 32 children per age group, following previous studies of Mandarin verb comprehension (Chen, 2017; J. Liu, 2018).</w:t>
      </w:r>
    </w:p>
    <w:p w14:paraId="6987F9E9" w14:textId="77777777" w:rsidR="009D4CF3" w:rsidRDefault="00000000">
      <w:pPr>
        <w:pStyle w:val="Heading3"/>
      </w:pPr>
      <w:r>
        <w:t>Design and Materials</w:t>
      </w:r>
    </w:p>
    <w:p w14:paraId="208B4D44" w14:textId="77777777" w:rsidR="009D4CF3" w:rsidRDefault="00000000">
      <w:r>
        <w:t>On each trial, participants watched one critical video and answered a perfective yes–no question about it. The question contained either the RVC or the V1, with the object as a bare noun, as in (3).</w:t>
      </w:r>
    </w:p>
    <w:p w14:paraId="1B1FF994" w14:textId="77777777" w:rsidR="009D4CF3" w:rsidRDefault="00000000">
      <w:pPr>
        <w:pStyle w:val="ExampleFirst"/>
      </w:pPr>
      <w:r>
        <w:t>(3)</w:t>
      </w:r>
      <w:r>
        <w:tab/>
        <w:t>a.</w:t>
      </w:r>
      <w:r>
        <w:tab/>
      </w:r>
      <w:r>
        <w:rPr>
          <w:i/>
        </w:rPr>
        <w:t>Tā bāo-le lìzhī ma?</w:t>
      </w:r>
    </w:p>
    <w:p w14:paraId="34B66E5F" w14:textId="77777777" w:rsidR="009D4CF3" w:rsidRDefault="00000000">
      <w:pPr>
        <w:pStyle w:val="Example"/>
      </w:pPr>
      <w:r>
        <w:tab/>
      </w:r>
      <w:r>
        <w:tab/>
        <w:t>she peel-PERF lychee Q</w:t>
      </w:r>
    </w:p>
    <w:p w14:paraId="55B4F08D" w14:textId="77777777" w:rsidR="009D4CF3" w:rsidRDefault="00000000">
      <w:pPr>
        <w:pStyle w:val="Example"/>
      </w:pPr>
      <w:r>
        <w:tab/>
      </w:r>
      <w:r>
        <w:tab/>
        <w:t>“Did she peel (the) lychee?”</w:t>
      </w:r>
    </w:p>
    <w:p w14:paraId="197D3A5A" w14:textId="77777777" w:rsidR="009D4CF3" w:rsidRDefault="00000000">
      <w:pPr>
        <w:pStyle w:val="Example"/>
      </w:pPr>
      <w:r>
        <w:tab/>
        <w:t>b.</w:t>
      </w:r>
      <w:r>
        <w:tab/>
      </w:r>
      <w:r>
        <w:rPr>
          <w:i/>
        </w:rPr>
        <w:t>Tā bāo-kāi-le lìzhī ma?</w:t>
      </w:r>
    </w:p>
    <w:p w14:paraId="74343C19" w14:textId="77777777" w:rsidR="009D4CF3" w:rsidRDefault="00000000">
      <w:pPr>
        <w:pStyle w:val="Example"/>
      </w:pPr>
      <w:r>
        <w:tab/>
      </w:r>
      <w:r>
        <w:tab/>
        <w:t>she peel-open-PERF lychee Q</w:t>
      </w:r>
    </w:p>
    <w:p w14:paraId="12F28E22" w14:textId="77777777" w:rsidR="009D4CF3" w:rsidRDefault="00000000">
      <w:pPr>
        <w:pStyle w:val="ExampleLast"/>
      </w:pPr>
      <w:r>
        <w:tab/>
      </w:r>
      <w:r>
        <w:tab/>
        <w:t>“Did she peel (the) lychee open?”</w:t>
      </w:r>
    </w:p>
    <w:p w14:paraId="7E437C59" w14:textId="77777777" w:rsidR="009D4CF3" w:rsidRDefault="00000000">
      <w:r>
        <w:t>Form (RVC vs. V1) and set (stronger vs. weaker association) were manipulated between participants, and result realization (full vs. zero) within participants. Eight lists crossed four event lists with the two forms. Each event list contained one action from each of the 10 pairs, all from the same set, with five videos in their full-result and five in their zero-result version; across the two event lists for each set,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14:paraId="7E0665E7" w14:textId="77777777" w:rsidR="009D4CF3" w:rsidRDefault="00000000">
      <w:r>
        <w:t>With about four children per age group and five adults per list, the V1 descriptions of each set were judged by eight children per age group and 10 adults, and each V1 description in a given result condition by about four children per age group. Comparisons between the two sets are therefore largely between participants, and item-level estimates are imprecise.</w:t>
      </w:r>
    </w:p>
    <w:p w14:paraId="56804D9F" w14:textId="77777777" w:rsidR="009D4CF3" w:rsidRDefault="00000000">
      <w:pPr>
        <w:pStyle w:val="Heading3"/>
      </w:pPr>
      <w:r>
        <w:lastRenderedPageBreak/>
        <w:t>Procedure</w:t>
      </w:r>
    </w:p>
    <w:p w14:paraId="132EAC99" w14:textId="77777777" w:rsidR="009D4CF3" w:rsidRDefault="00000000">
      <w:r>
        <w:t>Children were tested individually in a quiet room in their kindergarten. After each video, they heard the question and answered orally, and an experimenter recorded the response. If a child reported not having seen the video clearly or did not answer, the video was played once more. Adults were tested online in Gorilla (Anwyl-Irvine et al., 2020); they received oral instructions from an experimenter and selected their answers themselves. Each session began with one practice trial. Acceptance was coded 1 and rejection 0.</w:t>
      </w:r>
    </w:p>
    <w:p w14:paraId="00A02946" w14:textId="77777777" w:rsidR="009D4CF3" w:rsidRDefault="00000000">
      <w:pPr>
        <w:pStyle w:val="Heading2"/>
      </w:pPr>
      <w:r>
        <w:t>Analysis Plan</w:t>
      </w:r>
    </w:p>
    <w:p w14:paraId="1B5C250B" w14:textId="77777777" w:rsidR="009D4CF3" w:rsidRDefault="00000000">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14:paraId="3905DCD5" w14:textId="77777777" w:rsidR="009D4CF3" w:rsidRDefault="00000000">
      <w:pPr>
        <w:pStyle w:val="Heading3"/>
      </w:pPr>
      <w:r>
        <w:t>RVC and V1 Descriptions</w:t>
      </w:r>
    </w:p>
    <w:p w14:paraId="30F5A172" w14:textId="77777777" w:rsidR="009D4CF3" w:rsidRDefault="00000000">
      <w:r>
        <w:t xml:space="preserve">The first model addresses RQ1. It includes form (RVC vs. V1), result realization (full vs. zero), age group (4-year-olds, 5-year-olds, adults), and their interactions; V1 trials from the two sets are pooled. Random effects are intercepts for participants, items (a V1–object expression </w:t>
      </w:r>
      <w:r>
        <w:lastRenderedPageBreak/>
        <w:t>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14:paraId="5A3F6E46" w14:textId="77777777" w:rsidR="009D4CF3" w:rsidRDefault="00000000">
      <w:pPr>
        <w:pStyle w:val="Heading3"/>
      </w:pPr>
      <w:r>
        <w:t>Stronger- and Weaker-Association V1s</w:t>
      </w:r>
    </w:p>
    <w:p w14:paraId="4E7667CB" w14:textId="77777777" w:rsidR="009D4CF3" w:rsidRDefault="00000000">
      <w:r>
        <w:t>The second model addresses RQ2 and uses V1 trials only. It includes set (stronger vs. weaker association), result realization, age group, and their interactions. Random effects are intercepts for participants, items, and pairs; a by-participant slope for result realization; by-item slopes for result realization and age group; and a by-pair slope for set, which allows the difference between the two V1s of a pair to vary across pairs. The focal estimates are (a) the difference between sets in zero-result events in each age group; (b) the Set × Result Realization interaction, which assesses whether this difference is larger in zero-result than in full-result events; and (c) the difference between children and adults in the zero-result difference between sets. Because adult acceptance in zero-result events may approach ceiling, the child–adult comparison is evaluated on the log-odds scale, and predicted probabilities are reported alongside.</w:t>
      </w:r>
    </w:p>
    <w:p w14:paraId="2F78B3F5" w14:textId="77777777" w:rsidR="009D4CF3" w:rsidRDefault="00000000">
      <w:pPr>
        <w:pStyle w:val="Heading3"/>
      </w:pPr>
      <w:r>
        <w:t>Sensitivity Analyses</w:t>
      </w:r>
    </w:p>
    <w:p w14:paraId="449C9658" w14:textId="77777777" w:rsidR="009D4CF3" w:rsidRDefault="00000000">
      <w:r>
        <w:t xml:space="preserve">Three analyses assess whether the conclusions depend on the materials: (a) refitting both models with all 10 pairs, with the actions of Pairs 7 and 8 assigned to sets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w:t>
      </w:r>
      <w:r>
        <w:lastRenderedPageBreak/>
        <w:t>results, and any conclusion that differs between the eight-pair and 10-pair analyses is stated. Frequentist refits are reported where they converge. These analyses are not used to select a preferred subset of items. Acceptance of each V1 and RVC description is also reported by result realization and age group, to show whether a difference between sets is carried by most pairs or by a few.</w:t>
      </w:r>
    </w:p>
    <w:p w14:paraId="46408DBA" w14:textId="77777777" w:rsidR="009D4CF3" w:rsidRDefault="00000000">
      <w:pPr>
        <w:pStyle w:val="Heading2"/>
      </w:pPr>
      <w:r>
        <w:t>Results</w:t>
      </w:r>
    </w:p>
    <w:p w14:paraId="3589F7A8" w14:textId="77777777" w:rsidR="009D4CF3" w:rsidRDefault="00000000">
      <w:r>
        <w:t>Accuracy on filler trials was 100% for adults, 97% for 4-year-olds, and 95% for 5-year-olds, and no participant was excluded. The data comprise 1,040 critical responses, of which 832 belong to the eight retained pairs (416 RVC and 416 V1 trials).</w:t>
      </w:r>
    </w:p>
    <w:p w14:paraId="08EEAEC4" w14:textId="77777777" w:rsidR="009D4CF3" w:rsidRDefault="00000000">
      <w:r>
        <w:rPr>
          <w:highlight w:val="yellow"/>
        </w:rPr>
        <w:t>⟦待补：按八对、两组方案重新分析后报告。0507 稿的结果基于全部 10 对和 Strong/Weak 编码，不能直接沿用。⟧</w:t>
      </w:r>
    </w:p>
    <w:p w14:paraId="47B35AA9" w14:textId="77777777" w:rsidR="009D4CF3" w:rsidRDefault="00000000">
      <w:pPr>
        <w:pStyle w:val="Heading1"/>
      </w:pPr>
      <w:r>
        <w:t>Experiment 2: Production</w:t>
      </w:r>
    </w:p>
    <w:p w14:paraId="46A9EDD8" w14:textId="77777777" w:rsidR="009D4CF3" w:rsidRDefault="00000000">
      <w:pPr>
        <w:pStyle w:val="Heading2"/>
      </w:pPr>
      <w:r>
        <w:t>Method</w:t>
      </w:r>
    </w:p>
    <w:p w14:paraId="00165941" w14:textId="77777777" w:rsidR="009D4CF3" w:rsidRDefault="00000000">
      <w:pPr>
        <w:pStyle w:val="Heading3"/>
      </w:pPr>
      <w:r>
        <w:t>Participants</w:t>
      </w:r>
    </w:p>
    <w:p w14:paraId="746AC7A9" w14:textId="77777777" w:rsidR="009D4CF3" w:rsidRDefault="00000000">
      <w:r>
        <w:t xml:space="preserve">A new sample of 32 four-year-olds (14 female; </w:t>
      </w:r>
      <w:r>
        <w:rPr>
          <w:highlight w:val="yellow"/>
        </w:rPr>
        <w:t>⟦age range in y;m, M⟧</w:t>
      </w:r>
      <w:r>
        <w:t xml:space="preserve">), 32 five-year-olds (18 female; </w:t>
      </w:r>
      <w:r>
        <w:rPr>
          <w:highlight w:val="yellow"/>
        </w:rPr>
        <w:t>⟦age range in y;m, M⟧</w:t>
      </w:r>
      <w:r>
        <w:t xml:space="preserve">), and 40 adults (29 female; 20.8–33.8 years, </w:t>
      </w:r>
      <w:r>
        <w:rPr>
          <w:i/>
        </w:rPr>
        <w:t>M</w:t>
      </w:r>
      <w:r>
        <w:t xml:space="preserve"> = 24.3) was recruited from the same populations as in Experiment 1, with the same consent procedure and compensation.</w:t>
      </w:r>
    </w:p>
    <w:p w14:paraId="3F7A8F50" w14:textId="77777777" w:rsidR="009D4CF3" w:rsidRDefault="00000000">
      <w:pPr>
        <w:pStyle w:val="Heading3"/>
      </w:pPr>
      <w:r>
        <w:t>Materials and Procedure</w:t>
      </w:r>
    </w:p>
    <w:p w14:paraId="5BD8CD59" w14:textId="77777777" w:rsidR="009D4CF3" w:rsidRDefault="00000000">
      <w:r>
        <w:t xml:space="preserve">The 40 critical videos were divided into four lists. Each list contained the 10 actions of one set, five in their full-result and five in their zero-result version, together with the eight filler videos (one practice and seven test trials). Four further lists presented the same videos in reverse order, yielding eight lists. Participants were randomly assigned to lists, watched each video, and </w:t>
      </w:r>
      <w:r>
        <w:lastRenderedPageBreak/>
        <w:t xml:space="preserve">were asked to describe what happened. </w:t>
      </w:r>
      <w:r>
        <w:rPr>
          <w:highlight w:val="yellow"/>
        </w:rPr>
        <w:t>⟦指导语原文⟧</w:t>
      </w:r>
      <w:r>
        <w:t xml:space="preserve"> Children responded orally, and an experimenter transcribed their responses; adults typed their descriptions online. Because response modality differed between children and adults, child–adult differences are interpreted with caution.</w:t>
      </w:r>
    </w:p>
    <w:p w14:paraId="274AAEA5" w14:textId="77777777" w:rsidR="009D4CF3" w:rsidRDefault="00000000">
      <w:r>
        <w:t xml:space="preserve">All 10 pairs are included in the analyses of Experiment 2, because these analyses compare result conditions and do not require the actions to be assigned to sets. Analyses restricted to the eight retained pairs are reported as a sensitivity check. </w:t>
      </w:r>
      <w:r>
        <w:rPr>
          <w:highlight w:val="yellow"/>
        </w:rPr>
        <w:t>⟦请确认 Exp 2 用全部 10 对⟧</w:t>
      </w:r>
    </w:p>
    <w:p w14:paraId="771AA536" w14:textId="77777777" w:rsidR="009D4CF3" w:rsidRDefault="00000000">
      <w:pPr>
        <w:pStyle w:val="Heading3"/>
      </w:pPr>
      <w:r>
        <w:t>Coding</w:t>
      </w:r>
    </w:p>
    <w:p w14:paraId="54410E70" w14:textId="77777777" w:rsidR="009D4CF3" w:rsidRDefault="00000000">
      <w:r>
        <w:t xml:space="preserve">The coding unit is the complete response to a video, including information expressed across clauses. Responses were recoded from the transcripts for the present analyses. </w:t>
      </w:r>
      <w:r>
        <w:rPr>
          <w:highlight w:val="yellow"/>
        </w:rPr>
        <w:t>⟦第二名编码员及一致性待补⟧</w:t>
      </w:r>
      <w:r>
        <w:t xml:space="preserve"> Nonresponses and responses without a verb are excluded and reported.</w:t>
      </w:r>
    </w:p>
    <w:p w14:paraId="5ED3C869" w14:textId="77777777" w:rsidR="009D4CF3" w:rsidRDefault="00000000">
      <w:r>
        <w:rPr>
          <w:b/>
        </w:rPr>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14:paraId="7DBC494B" w14:textId="77777777" w:rsidR="009D4CF3" w:rsidRDefault="00000000">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w:t>
      </w:r>
      <w:r>
        <w:lastRenderedPageBreak/>
        <w:t xml:space="preserve">explicitly expressed information is coded: A </w:t>
      </w:r>
      <w:r>
        <w:rPr>
          <w:i/>
        </w:rPr>
        <w:t>bǎ</w:t>
      </w:r>
      <w:r>
        <w:t xml:space="preserve"> construction with a monomorphemic verb (e.g., </w:t>
      </w:r>
      <w:r>
        <w:rPr>
          <w:i/>
        </w:rPr>
        <w:t>bǎ làzhú chuī-le</w:t>
      </w:r>
      <w:r>
        <w:t xml:space="preserve"> “BA candle blow-PERF”) is coded as mentioning the action only. </w:t>
      </w:r>
      <w:r>
        <w:rPr>
          <w:highlight w:val="yellow"/>
        </w:rPr>
        <w:t>⟦注意：0507 稿把 bǎ 句中的谓语一律编为 RVC，这里改了⟧</w:t>
      </w:r>
      <w:r>
        <w:t xml:space="preserve"> Whether a mentioned result is affirmed or denied is recorded, so that responses affirming the target result in a zero-result event can be identified.</w:t>
      </w:r>
    </w:p>
    <w:p w14:paraId="3B54CAB1" w14:textId="77777777" w:rsidR="009D4CF3" w:rsidRDefault="00000000">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14:paraId="3EF0B94C" w14:textId="77777777" w:rsidR="009D4CF3" w:rsidRDefault="00000000">
      <w:pPr>
        <w:pStyle w:val="Heading2"/>
      </w:pPr>
      <w:r>
        <w:t>Analysis Plan</w:t>
      </w:r>
    </w:p>
    <w:p w14:paraId="34018003" w14:textId="77777777" w:rsidR="009D4CF3" w:rsidRDefault="00000000">
      <w:r>
        <w:t xml:space="preserve">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and modeled if cell sizes permit. </w:t>
      </w:r>
      <w:r>
        <w:rPr>
          <w:highlight w:val="yellow"/>
        </w:rPr>
        <w:t>⟦待定：多分类模型还是仅描述⟧</w:t>
      </w:r>
      <w:r>
        <w:t xml:space="preserve"> Responses that affirm the target result in zero-result events are counted by age group. The adult ratings are not used in these analyses.</w:t>
      </w:r>
    </w:p>
    <w:p w14:paraId="3898C00B" w14:textId="77777777" w:rsidR="009D4CF3" w:rsidRDefault="00000000">
      <w:pPr>
        <w:pStyle w:val="Heading2"/>
      </w:pPr>
      <w:r>
        <w:lastRenderedPageBreak/>
        <w:t>Results</w:t>
      </w:r>
    </w:p>
    <w:p w14:paraId="570C2E60" w14:textId="77777777" w:rsidR="009D4CF3" w:rsidRDefault="00000000">
      <w:r>
        <w:rPr>
          <w:highlight w:val="yellow"/>
        </w:rPr>
        <w:t>⟦待补：按新的编码方案（完整回答为单位）重新编码并分析后报告。⟧</w:t>
      </w:r>
    </w:p>
    <w:p w14:paraId="095C048D" w14:textId="77777777" w:rsidR="009D4CF3" w:rsidRDefault="00000000">
      <w:pPr>
        <w:pStyle w:val="Heading1"/>
      </w:pPr>
      <w:r>
        <w:t>General Discussion</w:t>
      </w:r>
    </w:p>
    <w:p w14:paraId="2A274960" w14:textId="77777777" w:rsidR="009D4CF3" w:rsidRDefault="00000000">
      <w:r>
        <w:rPr>
          <w:highlight w:val="yellow"/>
        </w:rPr>
        <w:t>⟦本节为计划稿，将根据结果修改。⟧</w:t>
      </w:r>
    </w:p>
    <w:p w14:paraId="4036AB89" w14:textId="77777777" w:rsidR="009D4CF3" w:rsidRDefault="00000000">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14:paraId="0C5F8170" w14:textId="77777777" w:rsidR="009D4CF3" w:rsidRDefault="00000000">
      <w:pPr>
        <w:pStyle w:val="Heading2"/>
      </w:pPr>
      <w:r>
        <w:t>RVC and V1 Descriptions</w:t>
      </w:r>
    </w:p>
    <w:p w14:paraId="46F550EC" w14:textId="77777777" w:rsidR="009D4CF3" w:rsidRDefault="00000000">
      <w:r>
        <w:t>A larger effect of result realization on RVC than on V1 descriptions would show that children treat a result expressed by V2 differently from a result that is only associated with the action named by V1. Previous studies have shown this distinction in 5-year-olds (J. Liu et al., 2026) and in a small group of children around 4;6 (Chen, 2017). If 4-year-olds show the same interaction as 5-year-olds, the distinction is in place by 4 years of age for the events tested here; if the interaction is weaker in 4-year-olds, it continues to develop between 4 and 5. In either case, the conclusion concerns the selected RVCs and events, not RVC semantics or telicity in general. A smaller difference between the two forms in children than in adults would replicate the finding that children judge V1 descriptions of events without the result more strictly than adults do (Chen, 2017; J. Liu et al., 2026).</w:t>
      </w:r>
    </w:p>
    <w:p w14:paraId="4C2E4028" w14:textId="77777777" w:rsidR="009D4CF3" w:rsidRDefault="00000000">
      <w:pPr>
        <w:pStyle w:val="Heading2"/>
      </w:pPr>
      <w:r>
        <w:lastRenderedPageBreak/>
        <w:t>Action–Result Association and V1 Descriptions</w:t>
      </w:r>
    </w:p>
    <w:p w14:paraId="256010E1" w14:textId="77777777" w:rsidR="009D4CF3" w:rsidRDefault="00000000">
      <w:r>
        <w:t>If children reject V1 descriptions of zero-result events more often when the V1 names an action strongly associated with the target result, their stricter judgments are not uniform across V1s but vary with the relation between the depicted action and the result. Chen (2017) found differences among V1s, but each V1 was presented with a different object and result. Because the present design holds the object and the target result constant within pairs, a difference between sets cannot be attributed to differences between objects or results. It would show that, for children, what a V1 description conveys about a result depends on how the named action relates to that result. A difference between sets in adults would show the same for mature interpretation, consistent with the cline in adults’ acceptance of result cancellation (Chen, 2018) and with evidence that comprehenders’ expectations about events depend on the combination of a verb with its arguments (Bicknell et al., 2010; McRae &amp; Matsuki, 2009).</w:t>
      </w:r>
    </w:p>
    <w:p w14:paraId="7174531D" w14:textId="77777777" w:rsidR="009D4CF3" w:rsidRDefault="00000000">
      <w:r>
        <w:t xml:space="preserve">Why action–result association might matter is not settled by previous work. Accounts of monomorphemic verbs hold that a verb can imply a result without entailing it and that the strength of the implication varies, whether across verbs (Chen, 2018) or across fulfillment types (Kou &amp; Hohenstein, 2022, 2024), but they do not specify what that strength depends on. The two ratings point to two possibilities. Result likelihood bears on the culmination inference: The more likely the result is to follow the action, the stronger the expectation that the event culminated, and the less acceptable a V1 description may seem when the result is absent. Action typicality bears on what counts as a good instance of the action. The actions that achieve a given result can be viewed as a goal-derived category, in which typicality reflects how well members serve the goal and how often they are encountered as members (Barsalou, 1985); because children are reluctant to extend familiar verbs beyond typical instances of the actions they name (Ma et al., </w:t>
      </w:r>
      <w:r>
        <w:lastRenderedPageBreak/>
        <w:t>2021), a failed attempt at a typical means may make a V1 description less acceptable. The two dimensions usually go together but need not coincide (Kim &amp; Murphy, 2011). These possibilities are offered as interpretations of a difference between sets, not as hypotheses the study was designed to test.</w:t>
      </w:r>
    </w:p>
    <w:p w14:paraId="16A57566" w14:textId="77777777" w:rsidR="009D4CF3" w:rsidRDefault="00000000">
      <w:r>
        <w:t>A larger difference between sets in children than in adults would locate children’s stricter judgments mainly in V1s that name strongly associated actions. This pattern is compatible with three explanations that the binary task cannot separate: Children may find it harder than adults to set aside an inference that the result occurred, may reject a true description as inadequate because it leaves an expected result unaddressed, or may judge a failed attempt to be a poor instance of the action. The pragmatic explanation fits less naturally with a larger difference in children, because children tend to be more tolerant than adults of underinformative descriptions in binary judgment tasks (Katsos &amp; Bishop, 2011). Because adult acceptance in zero-result events may approach ceiling, however, a larger child difference on the probability scale could partly reflect the adult ceiling, which is why the comparison is evaluated on the log-odds scale.</w:t>
      </w:r>
    </w:p>
    <w:p w14:paraId="64959941" w14:textId="77777777" w:rsidR="009D4CF3" w:rsidRDefault="00000000">
      <w:r>
        <w:t xml:space="preserve">Because the stronger- and weaker-association expressions differ in both rated likelihood and rated typicality, the study cannot determine which dimension, or what the two share, underlies a difference between sets; the two ratings diverged only in Pair 7, which was excluded. The difference between sets also goes together with a difference in the conventionality of the corresponding RVCs. A child who often hears </w:t>
      </w:r>
      <w:r>
        <w:rPr>
          <w:i/>
        </w:rPr>
        <w:t>chuī-miè</w:t>
      </w:r>
      <w:r>
        <w:t xml:space="preserve"> “blow-extinguished” may come to expect a candle to go out after </w:t>
      </w:r>
      <w:r>
        <w:rPr>
          <w:i/>
        </w:rPr>
        <w:t>chuī</w:t>
      </w:r>
      <w:r>
        <w:t xml:space="preserve"> “blow,” so familiarity with the RVC offers an alternative account of a difference between sets. This account is not incompatible with the association account, because an action that reliably brings about a result is also likely to be described often with the corresponding RVC, but the present materials cannot separate the two.</w:t>
      </w:r>
    </w:p>
    <w:p w14:paraId="5A252C3A" w14:textId="77777777" w:rsidR="009D4CF3" w:rsidRDefault="00000000">
      <w:pPr>
        <w:pStyle w:val="Heading2"/>
      </w:pPr>
      <w:r>
        <w:lastRenderedPageBreak/>
        <w:t>Form and Information in Production</w:t>
      </w:r>
    </w:p>
    <w:p w14:paraId="5F1E9033" w14:textId="77777777" w:rsidR="009D4CF3" w:rsidRDefault="00000000">
      <w:r>
        <w:t xml:space="preserve">Comparing RVC use with mention of the target result separates the forms children use from the information they express. If both decline in zero-result events, speakers describing a failed attempt tend to leave the result unmentioned rather than express it in another form. If children mention the result without an RVC more often than adults, for example by naming the result alone or in a separate predicate, their lower RVC use reflects how they package the information rather than less attention to the result. In either case, RVC frequency alone cannot show whether children encode a result. Mentions of the result in zero-result events, typically negated as in </w:t>
      </w:r>
      <w:r>
        <w:rPr>
          <w:i/>
        </w:rPr>
        <w:t>méi bāo-kāi</w:t>
      </w:r>
      <w:r>
        <w:t xml:space="preserve"> “did not peel open,” indicate that the speaker treated the absent result as relevant to the event, and responses that affirm the target result in a zero-result event would indicate that a speaker described an unattained result as attained. Because the two experiments tested independent samples, links between comprehension and production hold at the group level only.</w:t>
      </w:r>
    </w:p>
    <w:p w14:paraId="328EDA48" w14:textId="77777777" w:rsidR="009D4CF3" w:rsidRDefault="00000000">
      <w:pPr>
        <w:pStyle w:val="Heading2"/>
      </w:pPr>
      <w:r>
        <w:t>Limitations and Future Directions</w:t>
      </w:r>
    </w:p>
    <w:p w14:paraId="2D58C942" w14:textId="77777777" w:rsidR="009D4CF3" w:rsidRDefault="00000000">
      <w:r>
        <w:t xml:space="preserve">Several limitations follow from the design.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tī</w:t>
      </w:r>
      <w: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in the present study, the same raters always gave the likelihood ratings first. Fourth, with eight pairs and </w:t>
      </w:r>
      <w:r>
        <w:lastRenderedPageBreak/>
        <w:t>sets assigned between participants, each difference between sets rests on few items and small groups, and item-level estimates are descriptive; in addition, the ratings were collected and two pairs excluded after an initial analysis of the same children’s data, so the eight-pair results should be read together with the 10-pair analyses, and a difference between sets needs to be replicated with a new sample of children. Fifth, the ratings describe expressions rather than videos, and the videos did not always elicit the intended V1. Finally, children and adults were tested in different modalities, and comprehension and production were tested in independent samples.</w:t>
      </w:r>
    </w:p>
    <w:p w14:paraId="422DBF4B" w14:textId="77777777" w:rsidR="009D4CF3" w:rsidRDefault="00000000">
      <w:pPr>
        <w:pStyle w:val="Heading1"/>
      </w:pPr>
      <w:r>
        <w:t>Conclusion</w:t>
      </w:r>
    </w:p>
    <w:p w14:paraId="701083AC" w14:textId="77777777" w:rsidR="009D4CF3" w:rsidRDefault="00000000">
      <w:r>
        <w:t xml:space="preserve">This study examines how Mandarin-speaking 4- and 5-year-olds interpret and describe events in which an action does or does not bring about a target result. Comparing RVC and V1 descriptions tests whether children distinguish a result expressed by V2 from one that is only associated with the action named by V1. Comparing V1s that name actions on the same object, but differ in how strongly those actions are associated with the same result, tests whether children’s interpretation of V1 descriptions varies with the relation between the action and the result rather than with the verb alone. Comparing RVC use with mention of the result in production asks whether children who use fewer RVCs also leave the result unexpressed. </w:t>
      </w:r>
      <w:r>
        <w:rPr>
          <w:highlight w:val="yellow"/>
        </w:rPr>
        <w:t>⟦结论待根据结果改写⟧</w:t>
      </w:r>
    </w:p>
    <w:p w14:paraId="44985F1C" w14:textId="77777777" w:rsidR="008215DC" w:rsidRDefault="00000000">
      <w:pPr>
        <w:pStyle w:val="Heading1"/>
        <w:pageBreakBefore/>
      </w:pPr>
      <w:r>
        <w:lastRenderedPageBreak/>
        <w:t>References</w:t>
      </w:r>
    </w:p>
    <w:p w14:paraId="2485984E" w14:textId="77777777" w:rsidR="009D4CF3" w:rsidRDefault="00000000">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3430A7BA" w14:textId="77777777" w:rsidR="008215DC" w:rsidRDefault="00000000">
      <w:pPr>
        <w:pStyle w:val="Reference"/>
      </w:pPr>
      <w:r>
        <w:t xml:space="preserve">Barsalou, L. W. (1985). Ideals, central tendency, and frequency of instantiation as determinants of graded structure in categories. </w:t>
      </w:r>
      <w:r>
        <w:rPr>
          <w:i/>
          <w:iCs/>
        </w:rPr>
        <w:t>Journal of Experimental Psychology: Learning, Memory, and Cognition, 11</w:t>
      </w:r>
      <w:r>
        <w:t>(4), 629–654. https://doi.org/10.1037/0278-7393.11.1-4.629</w:t>
      </w:r>
    </w:p>
    <w:p w14:paraId="499F57AC" w14:textId="77777777" w:rsidR="008215DC" w:rsidRDefault="00000000">
      <w:pPr>
        <w:pStyle w:val="Reference"/>
      </w:pPr>
      <w:r w:rsidRPr="006B7B7E">
        <w:rPr>
          <w:lang w:val="de-DE"/>
        </w:rPr>
        <w:t xml:space="preserve">Bicknell, K., Elman, J. L., Hare, M., McRae, K., &amp; Kutas, M. (2010). </w:t>
      </w:r>
      <w:r>
        <w:t xml:space="preserve">Effects of event knowledge in processing verbal arguments. </w:t>
      </w:r>
      <w:r>
        <w:rPr>
          <w:i/>
          <w:iCs/>
        </w:rPr>
        <w:t>Journal of Memory and Language, 63</w:t>
      </w:r>
      <w:r>
        <w:t>(4), 489–505. https://doi.org/10.1016/j.jml.2010.08.004</w:t>
      </w:r>
    </w:p>
    <w:p w14:paraId="00F337CE" w14:textId="77777777" w:rsidR="009D4CF3" w:rsidRDefault="00000000">
      <w:pPr>
        <w:pStyle w:val="Reference"/>
      </w:pPr>
      <w:r>
        <w:t xml:space="preserve">Bürkner, P.-C. (2017). brms: An R package for Bayesian multilevel models using Stan. </w:t>
      </w:r>
      <w:r>
        <w:rPr>
          <w:i/>
        </w:rPr>
        <w:t>Journal of Statistical Software, 80</w:t>
      </w:r>
      <w:r>
        <w:t>(1), 1–28. https://doi.org/10.18637/jss.v080.i01</w:t>
      </w:r>
    </w:p>
    <w:p w14:paraId="0DB096E8" w14:textId="77777777" w:rsidR="008215DC" w:rsidRDefault="00000000">
      <w:pPr>
        <w:pStyle w:val="Reference"/>
      </w:pPr>
      <w:r>
        <w:t xml:space="preserve">Chen, J. (2008). </w:t>
      </w:r>
      <w:r>
        <w:rPr>
          <w:i/>
          <w:iCs/>
        </w:rPr>
        <w:t>The acquisition of verb compounding in Mandarin Chinese</w:t>
      </w:r>
      <w:r>
        <w:t xml:space="preserve"> [Doctoral dissertation, Vrije Universiteit Amsterdam]. LOT.</w:t>
      </w:r>
    </w:p>
    <w:p w14:paraId="4A99F72E" w14:textId="77777777" w:rsidR="008215DC" w:rsidRDefault="00000000">
      <w:pPr>
        <w:pStyle w:val="Reference"/>
      </w:pPr>
      <w:r>
        <w:t xml:space="preserve">Chen, J. (2017). When transparency doesn’t mean ease: Learning the meaning of resultative verb compounds in Mandarin Chinese. </w:t>
      </w:r>
      <w:r>
        <w:rPr>
          <w:i/>
          <w:iCs/>
        </w:rPr>
        <w:t>Journal of Child Language, 44</w:t>
      </w:r>
      <w:r>
        <w:t>(3), 695–718. https://doi.org/10.1017/S0305000916000192</w:t>
      </w:r>
    </w:p>
    <w:p w14:paraId="0FAC8E32" w14:textId="77777777" w:rsidR="008215DC" w:rsidRDefault="00000000">
      <w:pPr>
        <w:pStyle w:val="Reference"/>
      </w:pPr>
      <w:r>
        <w:t xml:space="preserve">Chen, J. (2018). “He killed a chicken, but it didn’t die”: An empirical study of the lexicalization of state change in Mandarin monomorphemic verbs. </w:t>
      </w:r>
      <w:r>
        <w:rPr>
          <w:i/>
          <w:iCs/>
        </w:rPr>
        <w:t>Chinese Language and Discourse, 9</w:t>
      </w:r>
      <w:r>
        <w:t>(2), 136–161. https://doi.org/10.1075/cld.17007.che</w:t>
      </w:r>
    </w:p>
    <w:p w14:paraId="69D7D44D" w14:textId="77777777" w:rsidR="008215DC" w:rsidRDefault="00000000">
      <w:pPr>
        <w:pStyle w:val="Reference"/>
      </w:pPr>
      <w:r>
        <w:t xml:space="preserve">Deng, X. (2019). The acquisition of resultative verb compounds in Mandarin Chinese. </w:t>
      </w:r>
      <w:r>
        <w:rPr>
          <w:i/>
          <w:iCs/>
        </w:rPr>
        <w:t>Journal of Chinese Linguistics, 47</w:t>
      </w:r>
      <w:r>
        <w:t>(1), 42–81. https://doi.org/10.1353/jcl.2019.0002</w:t>
      </w:r>
    </w:p>
    <w:p w14:paraId="17F87A66" w14:textId="77777777" w:rsidR="008215DC" w:rsidRDefault="00000000">
      <w:pPr>
        <w:pStyle w:val="Reference"/>
      </w:pPr>
      <w:r>
        <w:lastRenderedPageBreak/>
        <w:t xml:space="preserve">Han, P. (2021). </w:t>
      </w:r>
      <w:proofErr w:type="spellStart"/>
      <w:r>
        <w:t>Reanalyzing</w:t>
      </w:r>
      <w:proofErr w:type="spellEnd"/>
      <w: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t xml:space="preserve">(2), 191–222. https://doi.org/10.1017/cnj.2021.11 </w:t>
      </w:r>
      <w:r>
        <w:rPr>
          <w:highlight w:val="yellow"/>
        </w:rPr>
        <w:t>⟦</w:t>
      </w:r>
      <w:proofErr w:type="spellStart"/>
      <w:r>
        <w:rPr>
          <w:highlight w:val="yellow"/>
        </w:rPr>
        <w:t>待核：页码</w:t>
      </w:r>
      <w:proofErr w:type="spellEnd"/>
      <w:r>
        <w:rPr>
          <w:highlight w:val="yellow"/>
        </w:rPr>
        <w:t>⟧</w:t>
      </w:r>
    </w:p>
    <w:p w14:paraId="327C482A" w14:textId="77777777" w:rsidR="008215DC" w:rsidRDefault="00000000">
      <w:pPr>
        <w:pStyle w:val="Reference"/>
      </w:pPr>
      <w:r>
        <w:t xml:space="preserve">Hsu, N., Rispoli, M., &amp; Hadley, P. A. (2019). Mastering the grammar of complex events: Evidence from Mandarin resultative verb compounds. </w:t>
      </w:r>
      <w:r>
        <w:rPr>
          <w:i/>
          <w:iCs/>
        </w:rPr>
        <w:t>Language Learning and Development, 15</w:t>
      </w:r>
      <w:r>
        <w:t>(3), 255–277. https://doi.org/10.1080/15475441.2019.1590204</w:t>
      </w:r>
    </w:p>
    <w:p w14:paraId="64E93412" w14:textId="77777777" w:rsidR="008215DC" w:rsidRDefault="00000000">
      <w:pPr>
        <w:pStyle w:val="Reference"/>
      </w:pPr>
      <w:r>
        <w:t xml:space="preserve">Huang, C.-T. J. (2006). Resultatives and </w:t>
      </w:r>
      <w:proofErr w:type="spellStart"/>
      <w:r>
        <w:t>unaccusatives</w:t>
      </w:r>
      <w:proofErr w:type="spellEnd"/>
      <w:r>
        <w:t xml:space="preserve">: A parametric view. </w:t>
      </w:r>
      <w:r>
        <w:rPr>
          <w:i/>
          <w:iCs/>
        </w:rPr>
        <w:t>Bulletin of the Chinese Linguistic Society of Japan, 2006</w:t>
      </w:r>
      <w:r>
        <w:t>(253), 1–43. https://doi.org/10.7131/chuugokugogaku.2006.1</w:t>
      </w:r>
    </w:p>
    <w:p w14:paraId="617F74F2" w14:textId="77777777" w:rsidR="008215DC" w:rsidRDefault="00000000">
      <w:pPr>
        <w:pStyle w:val="Reference"/>
      </w:pPr>
      <w:r w:rsidRPr="006B7B7E">
        <w:rPr>
          <w:lang w:val="de-DE"/>
        </w:rPr>
        <w:t xml:space="preserve">Katsos, N., &amp; Bishop, D. V. M. (2011). </w:t>
      </w:r>
      <w:r>
        <w:t xml:space="preserve">Pragmatic tolerance: Implications for the acquisition of informativeness and implicature. </w:t>
      </w:r>
      <w:r>
        <w:rPr>
          <w:i/>
          <w:iCs/>
        </w:rPr>
        <w:t>Cognition, 120</w:t>
      </w:r>
      <w:r>
        <w:t>(1), 67–81. https://doi.org/10.1016/j.cognition.2011.02.015</w:t>
      </w:r>
    </w:p>
    <w:p w14:paraId="71B66305" w14:textId="77777777" w:rsidR="008215DC" w:rsidRDefault="00000000">
      <w:pPr>
        <w:pStyle w:val="Reference"/>
      </w:pPr>
      <w:r>
        <w:t xml:space="preserve">Kim, S., &amp; Murphy, G. L. (2011). Ideals and category typicality. </w:t>
      </w:r>
      <w:r>
        <w:rPr>
          <w:i/>
          <w:iCs/>
        </w:rPr>
        <w:t>Journal of Experimental Psychology: Learning, Memory, and Cognition, 37</w:t>
      </w:r>
      <w:r>
        <w:t>(5), 1092–1112. https://doi.org/10.1037/a0023916</w:t>
      </w:r>
    </w:p>
    <w:p w14:paraId="7D01A15C" w14:textId="77777777" w:rsidR="008215DC" w:rsidRPr="005B1EF1" w:rsidRDefault="00000000">
      <w:pPr>
        <w:pStyle w:val="Reference"/>
        <w:rPr>
          <w:lang w:val="de-DE"/>
        </w:rPr>
      </w:pPr>
      <w:r>
        <w:t xml:space="preserve">Kou, X., &amp; Hohenstein, J. (2022). </w:t>
      </w:r>
      <w:proofErr w:type="spellStart"/>
      <w:r>
        <w:t>Fulfillment</w:t>
      </w:r>
      <w:proofErr w:type="spellEnd"/>
      <w:r>
        <w:t xml:space="preserve"> types in Realization events: Definition, distinctions, and diagnostics. </w:t>
      </w:r>
      <w:r w:rsidRPr="006B7B7E">
        <w:rPr>
          <w:i/>
          <w:iCs/>
          <w:lang w:val="de-DE"/>
        </w:rPr>
        <w:t>Lingua, 269</w:t>
      </w:r>
      <w:r w:rsidRPr="006B7B7E">
        <w:rPr>
          <w:lang w:val="de-DE"/>
        </w:rPr>
        <w:t>, Article 103204. https://doi.org/10.1016/j.lingua.2021.103204</w:t>
      </w:r>
    </w:p>
    <w:p w14:paraId="42985203" w14:textId="77777777" w:rsidR="008215DC" w:rsidRDefault="00000000">
      <w:pPr>
        <w:pStyle w:val="Reference"/>
      </w:pPr>
      <w:r w:rsidRPr="006B7B7E">
        <w:rPr>
          <w:lang w:val="de-DE"/>
        </w:rPr>
        <w:t xml:space="preserve">Kou, X., &amp; Hohenstein, J. (2024). </w:t>
      </w:r>
      <w:r>
        <w:t xml:space="preserve">Manner, result, and intention: Implications for event typology from a cognitive account of verb semantics based on fulfilment types. </w:t>
      </w:r>
      <w:r>
        <w:rPr>
          <w:i/>
          <w:iCs/>
        </w:rPr>
        <w:t>Language and Cognition, 16</w:t>
      </w:r>
      <w:r>
        <w:t>(4), 1053–1078. https://doi.org/10.1017/langcog.2023.72</w:t>
      </w:r>
    </w:p>
    <w:p w14:paraId="688F2636" w14:textId="77777777" w:rsidR="008215DC" w:rsidRDefault="00000000">
      <w:pPr>
        <w:pStyle w:val="Reference"/>
      </w:pPr>
      <w:r>
        <w:t xml:space="preserve">Li, C. N., &amp; Thompson, S. A. (1981). </w:t>
      </w:r>
      <w:r>
        <w:rPr>
          <w:i/>
          <w:iCs/>
        </w:rPr>
        <w:t>Mandarin Chinese: A functional reference grammar</w:t>
      </w:r>
      <w:r>
        <w:t>. University of California Press.</w:t>
      </w:r>
    </w:p>
    <w:p w14:paraId="56B9DFC0" w14:textId="77777777" w:rsidR="008215DC" w:rsidRDefault="00000000">
      <w:pPr>
        <w:pStyle w:val="Reference"/>
      </w:pPr>
      <w:r>
        <w:lastRenderedPageBreak/>
        <w:t xml:space="preserve">Li, P., &amp; Bowerman, M. (1998). The acquisition of lexical and grammatical aspect in Chinese. </w:t>
      </w:r>
      <w:r>
        <w:rPr>
          <w:i/>
          <w:iCs/>
        </w:rPr>
        <w:t>First Language, 18</w:t>
      </w:r>
      <w:r>
        <w:t>(54), 311–350. https://doi.org/10.1177/014272379801805404</w:t>
      </w:r>
    </w:p>
    <w:p w14:paraId="33C9A570" w14:textId="77777777" w:rsidR="008215DC" w:rsidRDefault="00000000">
      <w:pPr>
        <w:pStyle w:val="Reference"/>
      </w:pPr>
      <w:r>
        <w:t xml:space="preserve">Li, Y. (1990). On V-V compounds in Chinese. </w:t>
      </w:r>
      <w:r>
        <w:rPr>
          <w:i/>
          <w:iCs/>
        </w:rPr>
        <w:t>Natural Language &amp; Linguistic Theory, 8</w:t>
      </w:r>
      <w:r>
        <w:t>(2), 177–207. https://doi.org/10.1007/BF00208523</w:t>
      </w:r>
    </w:p>
    <w:p w14:paraId="59DC879D" w14:textId="77777777" w:rsidR="008215DC" w:rsidRDefault="00000000">
      <w:pPr>
        <w:pStyle w:val="Reference"/>
      </w:pPr>
      <w:r>
        <w:t xml:space="preserve">Li, Y. (1995). The thematic hierarchy and </w:t>
      </w:r>
      <w:proofErr w:type="spellStart"/>
      <w:r>
        <w:t>causativity</w:t>
      </w:r>
      <w:proofErr w:type="spellEnd"/>
      <w:r>
        <w:t xml:space="preserve">. </w:t>
      </w:r>
      <w:r>
        <w:rPr>
          <w:i/>
          <w:iCs/>
        </w:rPr>
        <w:t>Natural Language &amp; Linguistic Theory, 13</w:t>
      </w:r>
      <w:r>
        <w:t>(2), 255–282. https://doi.org/10.1007/BF00992783</w:t>
      </w:r>
    </w:p>
    <w:p w14:paraId="7C4B6846" w14:textId="77777777" w:rsidR="008215DC" w:rsidRDefault="00000000">
      <w:pPr>
        <w:pStyle w:val="Reference"/>
      </w:pPr>
      <w:r>
        <w:t xml:space="preserve">Liu, J. (2018). </w:t>
      </w:r>
      <w:r>
        <w:rPr>
          <w:i/>
          <w:iCs/>
        </w:rPr>
        <w:t>(Non-culminating) accomplishments in child and adult Mandarin</w:t>
      </w:r>
      <w:r>
        <w:t xml:space="preserve"> [Doctoral dissertation, Université de Nantes]. </w:t>
      </w:r>
      <w:r>
        <w:rPr>
          <w:highlight w:val="yellow"/>
        </w:rPr>
        <w:t>⟦</w:t>
      </w:r>
      <w:proofErr w:type="spellStart"/>
      <w:r>
        <w:rPr>
          <w:highlight w:val="yellow"/>
        </w:rPr>
        <w:t>待核：题名与链接</w:t>
      </w:r>
      <w:proofErr w:type="spellEnd"/>
      <w:r>
        <w:rPr>
          <w:highlight w:val="yellow"/>
        </w:rPr>
        <w:t>⟧</w:t>
      </w:r>
    </w:p>
    <w:p w14:paraId="73EC4840" w14:textId="77777777" w:rsidR="008215DC" w:rsidRDefault="00000000">
      <w:pPr>
        <w:pStyle w:val="Reference"/>
      </w:pPr>
      <w:r>
        <w:t xml:space="preserve">Liu, J., van Hout, A., &amp; </w:t>
      </w:r>
      <w:proofErr w:type="spellStart"/>
      <w:r>
        <w:t>Demirdache</w:t>
      </w:r>
      <w:proofErr w:type="spellEnd"/>
      <w:r>
        <w:t xml:space="preserve">, H. (2026). Mandarin children’s acquisition of event culmination. </w:t>
      </w:r>
      <w:r>
        <w:rPr>
          <w:i/>
          <w:iCs/>
        </w:rPr>
        <w:t>Languages, 11</w:t>
      </w:r>
      <w:r>
        <w:t>(9), Article 190. https://doi.org/10.3390/languages11090190</w:t>
      </w:r>
    </w:p>
    <w:p w14:paraId="4A9CC526" w14:textId="77777777" w:rsidR="008215DC" w:rsidRDefault="00000000">
      <w:pPr>
        <w:pStyle w:val="Reference"/>
      </w:pPr>
      <w:r>
        <w:t xml:space="preserve">Ma, W., Golinkoff, R. M., Song, L., &amp; Hirsh-Pasek, K. (2021). Using verb extension to gauge children’s verb meaning </w:t>
      </w:r>
      <w:proofErr w:type="spellStart"/>
      <w:r>
        <w:t>construals</w:t>
      </w:r>
      <w:proofErr w:type="spellEnd"/>
      <w:r>
        <w:t xml:space="preserve">: The case of Chinese. </w:t>
      </w:r>
      <w:r>
        <w:rPr>
          <w:i/>
          <w:iCs/>
        </w:rPr>
        <w:t>Frontiers in Psychology, 11</w:t>
      </w:r>
      <w:r>
        <w:t>, Article 572198. https://doi.org/10.3389/fpsyg.2020.572198</w:t>
      </w:r>
    </w:p>
    <w:p w14:paraId="7B440D0E" w14:textId="77777777" w:rsidR="008215DC" w:rsidRDefault="00000000">
      <w:pPr>
        <w:pStyle w:val="Reference"/>
      </w:pPr>
      <w:r>
        <w:t xml:space="preserve">Martin, F., Sun, H., Liu, J., &amp; </w:t>
      </w:r>
      <w:proofErr w:type="spellStart"/>
      <w:r>
        <w:t>Demirdache, H. (2020).</w:t>
      </w:r>
      <w:proofErr w:type="spellEnd"/>
      <w:r>
        <w:t xml:space="preserve"> On the zero-change construal of causative simple verbs in Mandarin Chinese. In P. Liu, E. </w:t>
      </w:r>
      <w:proofErr w:type="spellStart"/>
      <w:r>
        <w:t>Sjovall</w:t>
      </w:r>
      <w:proofErr w:type="spellEnd"/>
      <w:r>
        <w:t xml:space="preserve">, X. Sun, P. Berezovskaya, &amp; V. </w:t>
      </w:r>
      <w:proofErr w:type="spellStart"/>
      <w:r>
        <w:t>Hohaus</w:t>
      </w:r>
      <w:proofErr w:type="spellEnd"/>
      <w:r>
        <w:t xml:space="preserve"> (Eds.), </w:t>
      </w:r>
      <w:r>
        <w:rPr>
          <w:i/>
          <w:iCs/>
        </w:rPr>
        <w:t xml:space="preserve">Proceedings of </w:t>
      </w:r>
      <w:proofErr w:type="spellStart"/>
      <w:r>
        <w:rPr>
          <w:i/>
          <w:iCs/>
        </w:rPr>
        <w:t>TripleA</w:t>
      </w:r>
      <w:proofErr w:type="spellEnd"/>
      <w:r>
        <w:rPr>
          <w:i/>
          <w:iCs/>
        </w:rPr>
        <w:t xml:space="preserve"> 7</w:t>
      </w:r>
      <w:r>
        <w:t xml:space="preserve">. Universität Tübingen. </w:t>
      </w:r>
      <w:r>
        <w:rPr>
          <w:highlight w:val="yellow"/>
        </w:rPr>
        <w:t>⟦</w:t>
      </w:r>
      <w:proofErr w:type="spellStart"/>
      <w:r>
        <w:rPr>
          <w:highlight w:val="yellow"/>
        </w:rPr>
        <w:t>待核：页码与链接</w:t>
      </w:r>
      <w:proofErr w:type="spellEnd"/>
      <w:r>
        <w:rPr>
          <w:highlight w:val="yellow"/>
        </w:rPr>
        <w:t>⟧</w:t>
      </w:r>
    </w:p>
    <w:p w14:paraId="7B440D0E" w14:textId="77777777" w:rsidR="008215DC" w:rsidRDefault="00000000">
      <w:pPr>
        <w:pStyle w:val="Reference"/>
      </w:pPr>
      <w:r>
        <w:t xml:space="preserve">Martin, F., Sun, H., Liu, J., &amp; Demirdache, H. (2026). </w:t>
      </w:r>
      <w:r>
        <w:rPr>
          <w:i/>
        </w:rPr>
        <w:t>Zero-change construals as a probe into event structure: Mandarin Chinese simple verbs and their anticausative vs. antiagentive alternants</w:t>
      </w:r>
      <w:r>
        <w:t xml:space="preserve"> [Preprint]. ResearchGate. </w:t>
      </w:r>
      <w:r>
        <w:rPr>
          <w:highlight w:val="yellow"/>
        </w:rPr>
        <w:t>⟦待补：ResearchGate 链接或 DOI⟧</w:t>
      </w:r>
    </w:p>
    <w:p w14:paraId="7CB5D282" w14:textId="77777777" w:rsidR="008215DC" w:rsidRDefault="00000000">
      <w:pPr>
        <w:pStyle w:val="Reference"/>
      </w:pPr>
      <w:r>
        <w:t xml:space="preserve">McRae, K., &amp; Matsuki, K. (2009). People use their knowledge of common events to understand </w:t>
      </w:r>
      <w:proofErr w:type="gramStart"/>
      <w:r>
        <w:t>language, and</w:t>
      </w:r>
      <w:proofErr w:type="gramEnd"/>
      <w:r>
        <w:t xml:space="preserve"> do so as quickly as possible. </w:t>
      </w:r>
      <w:r>
        <w:rPr>
          <w:i/>
          <w:iCs/>
        </w:rPr>
        <w:t>Language and Linguistics Compass, 3</w:t>
      </w:r>
      <w:r>
        <w:t>(6), 1417–1429. https://doi.org/10.1111/j.1749-818X.2009.00174.x</w:t>
      </w:r>
    </w:p>
    <w:p w14:paraId="6659D251" w14:textId="77777777" w:rsidR="009D4CF3" w:rsidRDefault="00000000">
      <w:pPr>
        <w:pStyle w:val="Reference"/>
      </w:pPr>
      <w:r>
        <w:t xml:space="preserve">R Core Team. (2024). </w:t>
      </w:r>
      <w:r>
        <w:rPr>
          <w:i/>
        </w:rPr>
        <w:t>R: A language and environment for statistical computing</w:t>
      </w:r>
      <w:r>
        <w:t>. R Foundation for Statistical Computing. https://www.R-project.org/</w:t>
      </w:r>
    </w:p>
    <w:p w14:paraId="1EE64877" w14:textId="77777777" w:rsidR="008215DC" w:rsidRDefault="00000000">
      <w:pPr>
        <w:pStyle w:val="Reference"/>
      </w:pPr>
      <w:proofErr w:type="spellStart"/>
      <w:r>
        <w:lastRenderedPageBreak/>
        <w:t>Skordos</w:t>
      </w:r>
      <w:proofErr w:type="spellEnd"/>
      <w:r>
        <w:t xml:space="preserve">, D., &amp; </w:t>
      </w:r>
      <w:proofErr w:type="spellStart"/>
      <w:r>
        <w:t>Papafragou</w:t>
      </w:r>
      <w:proofErr w:type="spellEnd"/>
      <w:r>
        <w:t xml:space="preserve">, A. (2016). Children’s derivation of scalar implicatures: Alternatives and relevance. </w:t>
      </w:r>
      <w:r>
        <w:rPr>
          <w:i/>
          <w:iCs/>
        </w:rPr>
        <w:t>Cognition, 153</w:t>
      </w:r>
      <w:r>
        <w:t xml:space="preserve">, 6–18. https://doi.org/10.1016/j.cognition.2016.04.006 </w:t>
      </w:r>
      <w:r>
        <w:rPr>
          <w:highlight w:val="yellow"/>
        </w:rPr>
        <w:t>⟦</w:t>
      </w:r>
      <w:proofErr w:type="spellStart"/>
      <w:r>
        <w:rPr>
          <w:highlight w:val="yellow"/>
        </w:rPr>
        <w:t>待核：DOI</w:t>
      </w:r>
      <w:proofErr w:type="spellEnd"/>
      <w:r>
        <w:rPr>
          <w:highlight w:val="yellow"/>
        </w:rPr>
        <w:t>⟧</w:t>
      </w:r>
    </w:p>
    <w:p w14:paraId="0376CB4F" w14:textId="77777777" w:rsidR="009D4CF3" w:rsidRDefault="00000000">
      <w:pPr>
        <w:pStyle w:val="Reference"/>
      </w:pPr>
      <w:r>
        <w:t xml:space="preserve">Speer, R. (2022). </w:t>
      </w:r>
      <w:r>
        <w:rPr>
          <w:i/>
        </w:rPr>
        <w:t>wordfreq</w:t>
      </w:r>
      <w:r>
        <w:t xml:space="preserve"> (Version 3.0) [Computer software]. Zenodo. https://doi.org/10.5281/zenodo.7199437 </w:t>
      </w:r>
      <w:r>
        <w:rPr>
          <w:highlight w:val="yellow"/>
        </w:rPr>
        <w:t>⟦待核：所用版本为 3.1.1；DOI⟧</w:t>
      </w:r>
    </w:p>
    <w:p w14:paraId="7F625383" w14:textId="77777777" w:rsidR="008215DC" w:rsidRDefault="00000000">
      <w:pPr>
        <w:pStyle w:val="Reference"/>
      </w:pPr>
      <w:r>
        <w:t xml:space="preserve">Sybesma, R. (1999). </w:t>
      </w:r>
      <w:r>
        <w:rPr>
          <w:i/>
          <w:iCs/>
        </w:rPr>
        <w:t>The Mandarin VP</w:t>
      </w:r>
      <w:r>
        <w:t>. Kluwer Academic.</w:t>
      </w:r>
    </w:p>
    <w:p w14:paraId="7A2AC32B" w14:textId="77777777" w:rsidR="008215DC" w:rsidRDefault="00000000">
      <w:pPr>
        <w:pStyle w:val="Reference"/>
      </w:pPr>
      <w: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t xml:space="preserve"> (pp. 289–296). Chicago Linguistic Society. </w:t>
      </w:r>
      <w:r>
        <w:rPr>
          <w:highlight w:val="yellow"/>
        </w:rPr>
        <w:t>⟦</w:t>
      </w:r>
      <w:proofErr w:type="spellStart"/>
      <w:r>
        <w:rPr>
          <w:highlight w:val="yellow"/>
        </w:rPr>
        <w:t>待核：题名</w:t>
      </w:r>
      <w:proofErr w:type="spellEnd"/>
      <w:r>
        <w:rPr>
          <w:highlight w:val="yellow"/>
        </w:rPr>
        <w:t xml:space="preserve"> time/times⟧</w:t>
      </w:r>
    </w:p>
    <w:p w14:paraId="558E4F1E" w14:textId="77777777" w:rsidR="008215DC" w:rsidRDefault="00000000">
      <w:pPr>
        <w:pStyle w:val="Reference"/>
      </w:pPr>
      <w:proofErr w:type="spellStart"/>
      <w:r>
        <w:t>Talmy</w:t>
      </w:r>
      <w:proofErr w:type="spellEnd"/>
      <w:r>
        <w:t xml:space="preserve">, L. (1991). Path to realization: A typology of event conflation. </w:t>
      </w:r>
      <w:r>
        <w:rPr>
          <w:i/>
          <w:iCs/>
        </w:rPr>
        <w:t>Proceedings of the Annual Meeting of the Berkeley Linguistics Society, 17</w:t>
      </w:r>
      <w:r>
        <w:t>, 480–519. https://doi.org/10.3765/bls.v17i0.1620</w:t>
      </w:r>
    </w:p>
    <w:p w14:paraId="4F7E0D89" w14:textId="77777777" w:rsidR="008215DC" w:rsidRDefault="00000000">
      <w:pPr>
        <w:pStyle w:val="Reference"/>
      </w:pPr>
      <w:proofErr w:type="spellStart"/>
      <w:r>
        <w:t>Talmy</w:t>
      </w:r>
      <w:proofErr w:type="spellEnd"/>
      <w:r>
        <w:t xml:space="preserve">, L. (2000). </w:t>
      </w:r>
      <w:r>
        <w:rPr>
          <w:i/>
          <w:iCs/>
        </w:rPr>
        <w:t>Toward a cognitive semantics: Vol. 2. Typology and process in concept structuring</w:t>
      </w:r>
      <w:r>
        <w:t>. MIT Press.</w:t>
      </w:r>
    </w:p>
    <w:p w14:paraId="31DA203B" w14:textId="77777777" w:rsidR="009D4CF3" w:rsidRDefault="00000000">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14:paraId="18133AA6" w14:textId="77777777" w:rsidR="009D4CF3" w:rsidRDefault="00000000">
      <w:pPr>
        <w:pStyle w:val="Reference"/>
      </w:pPr>
      <w:r>
        <w:t xml:space="preserve">Zhan, W., Guo, R., Chang, B., Chen, Y., &amp; Chen, L. (2019). The building of the CCL corpus: Its design and implementation. </w:t>
      </w:r>
      <w:r>
        <w:rPr>
          <w:i/>
        </w:rPr>
        <w:t>Corpus Linguistics, 6</w:t>
      </w:r>
      <w:r>
        <w:t xml:space="preserve">(1), 71–86. </w:t>
      </w:r>
      <w:r>
        <w:rPr>
          <w:highlight w:val="yellow"/>
        </w:rPr>
        <w:t>⟦待核：作者、题名与卷期⟧</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0AEBD" w14:textId="77777777" w:rsidR="00621C6F" w:rsidRDefault="00621C6F">
      <w:r>
        <w:separator/>
      </w:r>
    </w:p>
  </w:endnote>
  <w:endnote w:type="continuationSeparator" w:id="0">
    <w:p w14:paraId="358EE5DE" w14:textId="77777777" w:rsidR="00621C6F" w:rsidRDefault="00621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E147" w14:textId="77777777" w:rsidR="00621C6F" w:rsidRDefault="00621C6F">
      <w:r>
        <w:separator/>
      </w:r>
    </w:p>
  </w:footnote>
  <w:footnote w:type="continuationSeparator" w:id="0">
    <w:p w14:paraId="270A258F" w14:textId="77777777" w:rsidR="00621C6F" w:rsidRDefault="00621C6F">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197B71"/>
    <w:rsid w:val="003B797C"/>
    <w:rsid w:val="00447DD2"/>
    <w:rsid w:val="00477123"/>
    <w:rsid w:val="004B1F49"/>
    <w:rsid w:val="0055050F"/>
    <w:rsid w:val="0055310B"/>
    <w:rsid w:val="005B1EF1"/>
    <w:rsid w:val="005E64BA"/>
    <w:rsid w:val="005F1988"/>
    <w:rsid w:val="00621C6F"/>
    <w:rsid w:val="006B7B7E"/>
    <w:rsid w:val="00706240"/>
    <w:rsid w:val="00782C6A"/>
    <w:rsid w:val="008215DC"/>
    <w:rsid w:val="0086069B"/>
    <w:rsid w:val="009B1284"/>
    <w:rsid w:val="009D4CF3"/>
    <w:rsid w:val="009F5C76"/>
    <w:rsid w:val="00B64FC7"/>
    <w:rsid w:val="00C3541B"/>
    <w:rsid w:val="00C37B3C"/>
    <w:rsid w:val="00C77721"/>
    <w:rsid w:val="00D331C0"/>
    <w:rsid w:val="00DF4AE6"/>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32</Pages>
  <Words>8762</Words>
  <Characters>49949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3</cp:revision>
  <dcterms:created xsi:type="dcterms:W3CDTF">2026-10-14T04:12:00Z</dcterms:created>
  <dcterms:modified xsi:type="dcterms:W3CDTF">2026-10-15T03:34:00Z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