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t>kū-shī</w:t>
      </w:r>
      <w:proofErr w:type="spellEnd"/>
      <w:r w:rsidRPr="00197B71">
        <w:t xml:space="preserve"> </w:t>
      </w:r>
      <w:proofErr w:type="spellStart"/>
      <w:r w:rsidRPr="00197B71">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t>tī</w:t>
      </w:r>
      <w:proofErr w:type="spellEnd"/>
      <w:r w:rsidRPr="00EA6370">
        <w:t xml:space="preserve"> “kick” forms both </w:t>
      </w:r>
      <w:proofErr w:type="spellStart"/>
      <w:r w:rsidRPr="00EA6370">
        <w:t>tī-dǎo</w:t>
      </w:r>
      <w:proofErr w:type="spellEnd"/>
      <w:r w:rsidRPr="00EA6370">
        <w:t xml:space="preserve"> “kick-fallen” and </w:t>
      </w:r>
      <w:proofErr w:type="spellStart"/>
      <w:r w:rsidRPr="00EA6370">
        <w:t>tī-kāi</w:t>
      </w:r>
      <w:proofErr w:type="spellEnd"/>
      <w:r w:rsidRPr="00EA6370">
        <w:t xml:space="preserve"> “kick-open,” and </w:t>
      </w:r>
      <w:proofErr w:type="spellStart"/>
      <w:r w:rsidRPr="00EA6370">
        <w:t>miè</w:t>
      </w:r>
      <w:proofErr w:type="spellEnd"/>
      <w:r w:rsidRPr="00EA6370">
        <w:t xml:space="preserve"> “extinguished” follows both </w:t>
      </w:r>
      <w:proofErr w:type="spellStart"/>
      <w:r w:rsidRPr="00EA6370">
        <w:t>chuī</w:t>
      </w:r>
      <w:proofErr w:type="spellEnd"/>
      <w:r w:rsidRPr="00EA6370">
        <w:t xml:space="preserve"> “blow” and </w:t>
      </w:r>
      <w:proofErr w:type="spellStart"/>
      <w:r w:rsidRPr="00EA6370">
        <w:t>pū</w:t>
      </w:r>
      <w:proofErr w:type="spellEnd"/>
      <w:r w:rsidRPr="00EA6370">
        <w:t xml:space="preserve"> “beat.” These combinations are not equally conventional, however, and existing accounts do not specify what makes the action named by a given V1 a </w:t>
      </w:r>
      <w:proofErr w:type="gramStart"/>
      <w:r w:rsidRPr="00EA6370">
        <w:t>more or less natural</w:t>
      </w:r>
      <w:proofErr w:type="gramEnd"/>
      <w:r w:rsidRPr="00EA6370">
        <w:t xml:space="preserve">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1991, 2000), and as causative verbs that nevertheless allow zero-change construals (Martin et al., 2020, 2026).</w:t>
      </w:r>
      <w:proofErr w:type="spellStart"/>
      <w:r/>
      <w:proofErr w:type="spellEnd"/>
      <w:r>
        <w:t xml:space="preserve">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w:t>
      </w:r>
      <w:r>
        <w:t xml:space="preserv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xml:space="preserve">, how typical the action is as a means of achieving that result. The two ratings approach the relation from the action and from the result, respectively: Blowing on a candle, for example, is both likely to put it </w:t>
      </w:r>
      <w:r>
        <w:lastRenderedPageBreak/>
        <w:t>out and a typical way of doing so, whereas waving at it is neither.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t>hǎojǐcì</w:t>
      </w:r>
      <w:proofErr w:type="spellEnd"/>
      <w:r w:rsidRPr="00DF4AE6">
        <w:t xml:space="preserve"> “several times” increased acceptance in all </w:t>
      </w:r>
      <w:r w:rsidRPr="00DF4AE6">
        <w:lastRenderedPageBreak/>
        <w:t xml:space="preserve">age groups. Children’s rejections also varied across verbs. In Chen’s (2017) study, </w:t>
      </w:r>
      <w:proofErr w:type="spellStart"/>
      <w:r w:rsidRPr="00DF4AE6">
        <w:t>guān</w:t>
      </w:r>
      <w:proofErr w:type="spellEnd"/>
      <w:r w:rsidRPr="00DF4AE6">
        <w:t xml:space="preserve"> “close” and </w:t>
      </w:r>
      <w:proofErr w:type="spellStart"/>
      <w:r w:rsidRPr="00DF4AE6">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lastRenderedPageBreak/>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t>méi</w:t>
      </w:r>
      <w:proofErr w:type="spellEnd"/>
      <w:r w:rsidRPr="005E64BA">
        <w:t xml:space="preserve"> </w:t>
      </w:r>
      <w:proofErr w:type="spellStart"/>
      <w:r w:rsidRPr="005E64BA">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lastRenderedPageBreak/>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weaker-association V1s, form the materials for the analyses of Experiment 1. The two remaining pairs, in which the typicality difference was reversed or neither difference was reliable, are excluded from these analyses (see Method).</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 two sets, particularly in zero-result events, and is this difference larger in children than in adults?</w:t>
      </w:r>
    </w:p>
    <w:p w14:paraId="455138B3" w14:textId="77777777" w:rsidR="0055310B" w:rsidRPr="0055310B" w:rsidRDefault="00000000" w:rsidP="0055310B">
      <w:r>
        <w:lastRenderedPageBreak/>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with a smaller difference in full-result events. This difference is expected to be larger in children than in adults: Adults accept V1 descriptions of zero-result events at high rates (Chen, 2017), whereas children’s stricter judgments leave room for the association to matter.</w:t>
      </w:r>
    </w:p>
    <w:p w14:paraId="57F90C35" w14:textId="77777777" w:rsidR="00C3541B" w:rsidRPr="00C3541B" w:rsidRDefault="00C3541B" w:rsidP="00C3541B">
      <w:r w:rsidRPr="00C3541B">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lastRenderedPageBreak/>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w:t>
      </w:r>
      <w:r>
        <w:lastRenderedPageBreak/>
        <w:t xml:space="preserve">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form two sets of 10: the expected stronger-association expressions and their expected weaker-association partners.</w:t>
      </w:r>
      <w:r w:rsidR="006B7B7E" w:rsidRPr="006B7B7E"/>
      <w:r w:rsidR="006B7B7E">
        <w:rPr>
          <w:rFonts w:eastAsiaTheme="minorEastAsia" w:hint="eastAsia"/>
        </w:rPr>
      </w:r>
      <w:r/>
      <w:r w:rsidR="006B7B7E">
        <w:rPr>
          <w:rFonts w:eastAsiaTheme="minorEastAsia" w:hint="eastAsia"/>
        </w:rPr>
      </w:r>
      <w:r/>
    </w:p>
    <w:p w14:paraId="2976E87D" w14:textId="08DDC6C5" w:rsidR="009D4CF3" w:rsidRDefault="00000000">
      <w:r>
        <w:t xml:space="preserve">When the materials were designed, the two sets were defined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V1s in the weaker set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stronger set combined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hint="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pò</w:t>
            </w:r>
            <w:r>
              <w:br/>
              <w:t>“torn”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sī-pò</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2,350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zhuài</w:t>
            </w:r>
            <w:r>
              <w:br/>
              <w:t>“pull”</w:t>
            </w:r>
          </w:p>
        </w:tc>
        <w:tc>
          <w:tcPr>
            <w:tcW w:w="1368" w:type="dxa"/>
          </w:tcPr>
          <w:p w14:paraId="06139747" w14:textId="77777777" w:rsidR="009D4CF3" w:rsidRDefault="00000000">
            <w:pPr>
              <w:pStyle w:val="TableText"/>
              <w:keepNext/>
            </w:pPr>
            <w:r>
              <w:rPr>
                <w:i/>
              </w:rPr>
              <w:t>zhuài-pò</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2</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lastRenderedPageBreak/>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suì</w:t>
            </w:r>
            <w:r>
              <w:br/>
              <w:t>“broken”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jiā-suì</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48</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chuí-suì</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13</w:t>
            </w:r>
          </w:p>
        </w:tc>
      </w:tr>
    </w:tbl>
    <w:p w14:paraId="461146B5" w14:textId="764D5272" w:rsidR="009D4CF3" w:rsidRPr="0055050F" w:rsidRDefault="00000000">
      <w:pPr>
        <w:pStyle w:val="TableNote"/>
        <w:rPr>
          <w:rFonts w:eastAsiaTheme="minorEastAsia" w:hint="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set labels follow the original design. ᵇ Mostly figurative uses. ᶜ Includes many abstract uses.</w:t>
      </w:r>
    </w:p>
    <w:p w14:paraId="1FD25982" w14:textId="3047BDFB" w:rsidR="009D4CF3" w:rsidRPr="0055050F" w:rsidRDefault="00000000">
      <w:pPr>
        <w:rPr>
          <w:rFonts w:eastAsiaTheme="minorEastAsia" w:hint="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 xml:space="preserve">⟦Figure 1：full-result 与 zero-result </w:t>
      </w:r>
      <w:proofErr w:type="spellStart"/>
      <w:r>
        <w:rPr>
          <w:highlight w:val="yellow"/>
        </w:rPr>
        <w:t>视频的截图</w:t>
      </w:r>
      <w:proofErr w:type="spellEnd"/>
      <w:r>
        <w:rPr>
          <w:highlight w:val="yellow"/>
        </w:rPr>
        <w:t>⟧</w:t>
      </w:r>
    </w:p>
    <w:p w14:paraId="63C09C34" w14:textId="77777777" w:rsidR="009D4CF3" w:rsidRDefault="00000000">
      <w:pPr>
        <w:pStyle w:val="Heading2"/>
      </w:pPr>
      <w:r>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the 10 videos of one set and described each in a full sentence. If the intended V1 did not appear, the participant was asked for </w:t>
      </w:r>
      <w:r>
        <w:lastRenderedPageBreak/>
        <w:t xml:space="preserve">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hint="eastAsia"/>
        </w:rPr>
      </w:pPr>
      <w:r>
        <w:t xml:space="preserve">Twenty native speakers of Mandarin (21–35 years, </w:t>
      </w:r>
      <w:r>
        <w:rPr>
          <w:i/>
        </w:rPr>
        <w:t>M</w:t>
      </w:r>
      <w:r>
        <w:t xml:space="preserve"> = 28.2) </w:t>
      </w:r>
      <w:r>
        <w:rPr>
          <w:highlight w:val="yellow"/>
        </w:rPr>
        <w:t>⟦性别与招募方式待补⟧</w:t>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the paper ended up torn?” The instructions asked participants to judge, on the basis of the sentence and their everyday experience, how likely it was that the stated result eventually occurred. They 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wants to break the walnut.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63AAE06B" w14:textId="2B606D43" w:rsidR="009D4CF3" w:rsidRPr="00C77721" w:rsidRDefault="00000000">
      <w:pPr>
        <w:rPr>
          <w:rFonts w:eastAsiaTheme="minorEastAsia" w:hint="eastAsia"/>
        </w:rPr>
      </w:pPr>
      <w:r>
        <w:t>Four lists were constructed, and five raters completed each list. In all lists, the 20 likelihood items preceded the 20 typicality items. Within each block, the 10 expressions of one set were presented first and the 10 expressions of the other set second, with the pairs in the same order in both halves, so that the two members of each pair were always separated by nine other items. The stronger-association set came first in Lists 1 and 3, and the weaker-association set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w:t>
      </w:r>
      <w:r>
        <w:lastRenderedPageBreak/>
        <w:t xml:space="preserve">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assigned to the two sets. The two pairs remained in the experimental lists, so all participants saw all 10 pairs, but their trials are excluded from the analyses of Experiment 1. The original design included all 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w:t>
      </w:r>
      <w:r>
        <w:lastRenderedPageBreak/>
        <w:t>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for two reasons. First, as noted in the Introduction, V1–V2 combinations differ in how conventional they are, and an action that reliably brings about a result is likely to be described often with the corresponding RVC; corpus frequency thus characterizes the pairs independently of the adult ratings. Second, children may be more familiar with the RVCs formed with stronger-association V1s, and familiarity with an RVC could itself affect how they interpret the corresponding V1 (see General Discussion).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(e.g., </w:t>
      </w:r>
      <w:r>
        <w:rPr>
          <w:i/>
        </w:rPr>
        <w:t>sī-pò liǎn</w:t>
      </w:r>
      <w:r>
        <w:t xml:space="preserve"> “tear-torn face,” “fall out with someone”)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lastRenderedPageBreak/>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(14 female; </w:t>
      </w:r>
      <w:r>
        <w:rPr>
          <w:highlight w:val="yellow"/>
        </w:rPr>
        <w:t>⟦age range in y;m, M⟧</w:t>
      </w:r>
      <w:r>
        <w:t xml:space="preserve">), 32 five-year-olds (15 female; </w:t>
      </w:r>
      <w:r>
        <w:rPr>
          <w:highlight w:val="yellow"/>
        </w:rPr>
        <w:t>⟦age range in y;m, M⟧</w:t>
      </w:r>
      <w:r>
        <w:t xml:space="preserve">), and 40 adults (18 female; 18.3–37.2 years, </w:t>
      </w:r>
      <w:r>
        <w:rPr>
          <w:i/>
        </w:rPr>
        <w:t>M</w:t>
      </w:r>
      <w:r>
        <w:t xml:space="preserve"> = 23.1).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w:t>
      </w:r>
      <w:r>
        <w:lastRenderedPageBreak/>
        <w:t>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77777777" w:rsidR="009D4CF3" w:rsidRDefault="00000000">
      <w:r>
        <w:t>Form (RVC vs. V1) and set (stronger vs. weaker association) were manipulated between participants, and result realization (full vs. zero) within participants. Eight lists crossed four event lists with the two forms. Each event list contained one action from each of the 10 pairs, all from the same set, with five videos in their full-result and five in their zero-result version; across the two event lists for each set,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each set were judged by eight children per age group and 10 adults, and each V1 description in a given result condition by about four children per age group. Comparisons between the two sets are therefore largely between participants, and item-level estimates are imprecise.</w:t>
      </w:r>
    </w:p>
    <w:p w14:paraId="56804D9F" w14:textId="77777777" w:rsidR="009D4CF3" w:rsidRDefault="00000000">
      <w:pPr>
        <w:pStyle w:val="Heading3"/>
      </w:pPr>
      <w:r>
        <w:lastRenderedPageBreak/>
        <w:t>Procedure</w:t>
      </w:r>
    </w:p>
    <w:p w14:paraId="132EAC99" w14:textId="77777777" w:rsidR="009D4CF3" w:rsidRDefault="00000000">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77777777" w:rsidR="009D4CF3" w:rsidRDefault="00000000">
      <w:pPr>
        <w:pStyle w:val="Heading3"/>
      </w:pPr>
      <w:r>
        <w:t>RVC and V1 Descriptions</w:t>
      </w:r>
    </w:p>
    <w:p w14:paraId="30F5A172" w14:textId="77777777" w:rsidR="009D4CF3" w:rsidRDefault="00000000">
      <w:r>
        <w:t xml:space="preserve">The first model addresses RQ1. It includes form (RVC vs. V1), result realization (full vs. zero), age group (4-year-olds, 5-year-olds, adults), and their interactions; V1 trials from the two sets are pooled. Random effects are intercepts for participants, items (a V1–object expression </w:t>
      </w:r>
      <w:r>
        <w:lastRenderedPageBreak/>
        <w:t>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set (stronger vs. weaker association), result realization, age group, and their interactions. Random effects are intercepts for participants, items, and pairs; a by-participant slope for result realization; by-item slopes for result realization and age group; and a by-pair slope for set, which allows the difference between the two V1s of a pair to vary across pairs. The focal estimates are (a) the difference between sets in zero-result events in each age group; (b) the Set × Result Realization interaction, which assesses whether this difference is larger in zero-result than in full-result events; and (c) the difference between children and adults in the zero-result difference between sets. Because adult acceptance in zero-result events may approach ceiling, the child–adult comparison is evaluated on the log-odds scale, and predicted probabilities are reported alongside.</w:t>
      </w:r>
    </w:p>
    <w:p w14:paraId="2F78B3F5" w14:textId="77777777" w:rsidR="009D4CF3" w:rsidRDefault="00000000">
      <w:pPr>
        <w:pStyle w:val="Heading3"/>
      </w:pPr>
      <w:r>
        <w:t>Sensitivity Analyses</w:t>
      </w:r>
    </w:p>
    <w:p w14:paraId="449C9658" w14:textId="77777777" w:rsidR="009D4CF3" w:rsidRDefault="00000000">
      <w:r>
        <w:t xml:space="preserve">Three analyses assess whether the conclusions depend on the materials: (a) refitting both models with all 10 pairs, with the actions of Pairs 7 and 8 assigned to sets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w:t>
      </w:r>
      <w:r>
        <w:lastRenderedPageBreak/>
        <w:t>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a difference between sets is carried by most pairs or by a few.</w:t>
      </w:r>
    </w:p>
    <w:p w14:paraId="46408DBA" w14:textId="77777777" w:rsidR="009D4CF3" w:rsidRDefault="00000000">
      <w:pPr>
        <w:pStyle w:val="Heading2"/>
      </w:pPr>
      <w:r>
        <w:t>Results</w:t>
      </w:r>
    </w:p>
    <w:p w14:paraId="3589F7A8" w14:textId="77777777" w:rsidR="009D4CF3" w:rsidRDefault="00000000">
      <w:r>
        <w:t>Accuracy on filler trials was 100% for adults, 97% for 4-year-olds, and 95% for 5-year-olds, and no participant was excluded. The data comprise 1,040 critical responses, of which 832 belong to the eight retained pairs (416 RVC and 416 V1 trials).</w:t>
      </w:r>
    </w:p>
    <w:p w14:paraId="08EEAEC4" w14:textId="77777777" w:rsidR="009D4CF3" w:rsidRDefault="00000000">
      <w:r>
        <w:rPr>
          <w:highlight w:val="yellow"/>
        </w:rPr>
        <w:t>⟦待补：按八对、两组方案重新分析后报告。0507 稿的结果基于全部 10 对和 Strong/Weak 编码，不能直接沿用。⟧</w:t>
      </w:r>
    </w:p>
    <w:p w14:paraId="47B35AA9" w14:textId="77777777" w:rsidR="009D4CF3" w:rsidRDefault="00000000">
      <w:pPr>
        <w:pStyle w:val="Heading1"/>
      </w:pPr>
      <w:r>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(14 female; </w:t>
      </w:r>
      <w:r>
        <w:rPr>
          <w:highlight w:val="yellow"/>
        </w:rPr>
        <w:t>⟦age range in y;m, M⟧</w:t>
      </w:r>
      <w:r>
        <w:t xml:space="preserve">), 32 five-year-olds (18 female; </w:t>
      </w:r>
      <w:r>
        <w:rPr>
          <w:highlight w:val="yellow"/>
        </w:rPr>
        <w:t>⟦age range in y;m, M⟧</w:t>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the 10 actions of one set,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t>
      </w:r>
      <w:r>
        <w:lastRenderedPageBreak/>
        <w:t xml:space="preserve">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77777777" w:rsidR="009D4CF3" w:rsidRDefault="00000000">
      <w:r>
        <w:t xml:space="preserve">All 10 pairs are included in the analyses of Experiment 2, because these analyses compare result conditions and do not require the actions to be assigned to sets. Analyses restricted to the eight retained pairs are reported as a sensitivity check. </w:t>
      </w:r>
      <w:r>
        <w:rPr>
          <w:highlight w:val="yellow"/>
        </w:rPr>
        <w:t>⟦请确认 Exp 2 用全部 10 对⟧</w:t>
      </w:r>
    </w:p>
    <w:p w14:paraId="771AA536" w14:textId="77777777" w:rsidR="009D4CF3" w:rsidRDefault="00000000">
      <w:pPr>
        <w:pStyle w:val="Heading3"/>
      </w:pPr>
      <w:r>
        <w:t>Coding</w:t>
      </w:r>
    </w:p>
    <w:p w14:paraId="54410E70" w14:textId="77777777" w:rsidR="009D4CF3" w:rsidRDefault="00000000">
      <w:r>
        <w:t xml:space="preserve">The coding unit is the complete response to a video, including information expressed across clauses. Responses were recoded from the transcripts for the present analyses. </w:t>
      </w:r>
      <w:r>
        <w:rPr>
          <w:highlight w:val="yellow"/>
        </w:rPr>
        <w:t>⟦第二名编码员及一致性待补⟧</w:t>
      </w:r>
      <w:r>
        <w:t xml:space="preserve"> Nonresponses and responses without a verb are excluded and reported.</w:t>
      </w:r>
    </w:p>
    <w:p w14:paraId="5ED3C869" w14:textId="77777777" w:rsidR="009D4CF3" w:rsidRDefault="00000000">
      <w:r>
        <w:rPr>
          <w:b/>
        </w:rPr>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77777777"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w:t>
      </w:r>
      <w:r>
        <w:lastRenderedPageBreak/>
        <w:t xml:space="preserve">explicitly expressed information is coded: A </w:t>
      </w:r>
      <w:r>
        <w:rPr>
          <w:i/>
        </w:rPr>
        <w:t>bǎ</w:t>
      </w:r>
      <w:r>
        <w:t xml:space="preserve"> construction with a monomorphemic verb (e.g., </w:t>
      </w:r>
      <w:r>
        <w:rPr>
          <w:i/>
        </w:rPr>
        <w:t>bǎ làzhú chuī-le</w:t>
      </w:r>
      <w:r>
        <w:t xml:space="preserve"> “BA candle blow-PERF”) is coded as mentioning the action only. </w:t>
      </w:r>
      <w:r>
        <w:rPr>
          <w:highlight w:val="yellow"/>
        </w:rPr>
        <w:t>⟦注意：0507 稿把 bǎ 句中的谓语一律编为 RVC，这里改了⟧</w:t>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 xml:space="preserve">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and modeled if cell sizes permit. </w:t>
      </w:r>
      <w:r>
        <w:rPr>
          <w:highlight w:val="yellow"/>
        </w:rPr>
        <w:t>⟦待定：多分类模型还是仅描述⟧</w:t>
      </w:r>
      <w:r>
        <w:t xml:space="preserve"> Responses that affirm the target result in zero-result events are counted by age group. The adult ratings are not used in these analyses.</w:t>
      </w:r>
    </w:p>
    <w:p w14:paraId="3898C00B" w14:textId="77777777" w:rsidR="009D4CF3" w:rsidRDefault="00000000">
      <w:pPr>
        <w:pStyle w:val="Heading2"/>
      </w:pPr>
      <w:r>
        <w:lastRenderedPageBreak/>
        <w:t>Results</w:t>
      </w:r>
    </w:p>
    <w:p w14:paraId="570C2E60" w14:textId="77777777" w:rsidR="009D4CF3" w:rsidRDefault="00000000">
      <w:r>
        <w:rPr>
          <w:highlight w:val="yellow"/>
        </w:rPr>
        <w:t>⟦待补：按新的编码方案（完整回答为单位）重新编码并分析后报告。⟧</w:t>
      </w:r>
    </w:p>
    <w:p w14:paraId="095C048D" w14:textId="77777777" w:rsidR="009D4CF3" w:rsidRDefault="00000000">
      <w:pPr>
        <w:pStyle w:val="Heading1"/>
      </w:pPr>
      <w:r>
        <w:t>General Discussion</w:t>
      </w:r>
    </w:p>
    <w:p w14:paraId="2A274960" w14:textId="77777777" w:rsidR="009D4CF3" w:rsidRDefault="00000000">
      <w:r>
        <w:rPr>
          <w:highlight w:val="yellow"/>
        </w:rPr>
        <w:t>⟦本节为计划稿，将根据结果修改。⟧</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0C5F8170" w14:textId="77777777" w:rsidR="009D4CF3" w:rsidRDefault="00000000">
      <w:pPr>
        <w:pStyle w:val="Heading2"/>
      </w:pPr>
      <w:r>
        <w:t>RVC and V1 Descriptions</w:t>
      </w:r>
    </w:p>
    <w:p w14:paraId="46F550EC" w14:textId="77777777" w:rsidR="009D4CF3" w:rsidRDefault="00000000">
      <w:r>
        <w:t>A larger effect of result realization on RVC than on V1 descriptions would show that children treat a result expressed by V2 differently from a result that is only associated with the action named by V1. Previous studies have shown this distinction in 5-year-olds (J. Liu et al., 2026) and in a small group of children around 4;6 (Chen, 2017). If 4-year-olds show the same interaction as 5-year-olds, the distinction is in place by 4 years of age for the events tested here; if the interaction is weaker in 4-year-olds, it continues to develop between 4 and 5. In either case, the conclusion concerns the selected RVCs and events, not RVC semantics or telicity in general. A smaller difference between the two forms in children than in adults would replicate the finding that children judge V1 descriptions of events without the result more strictly than adults do (Chen, 2017; J. Liu et al., 2026).</w:t>
      </w:r>
    </w:p>
    <w:p w14:paraId="4C2E4028" w14:textId="77777777" w:rsidR="009D4CF3" w:rsidRDefault="00000000">
      <w:pPr>
        <w:pStyle w:val="Heading2"/>
      </w:pPr>
      <w:r>
        <w:lastRenderedPageBreak/>
        <w:t>Action–Result Association and V1 Descriptions</w:t>
      </w:r>
    </w:p>
    <w:p w14:paraId="256010E1" w14:textId="77777777" w:rsidR="009D4CF3" w:rsidRDefault="00000000">
      <w:r>
        <w:t>If children reject V1 descriptions of zero-result events more often when the V1 names an action strongly associated with the target result, their stricter judgments are not uniform across V1s but vary with the relation between the depicted action and the result. Chen (2017) found differences among V1s, but each V1 was presented with a different object and result. Because the present design holds the object and the target result constant within pairs, a difference between sets cannot be attributed to differences between objects or results. It would show that, for children, what a V1 description conveys about a result depends on how the named action relates to that result. A difference between sets in adults would show the same for mature interpretation, consistent with the cline in adults’ acceptance of result cancellation (Chen, 2018) and with evidence that comprehenders’ expectations about events depend on the combination of a verb with its arguments (Bicknell et al., 2010; McRae &amp; Matsuki, 2009).</w:t>
      </w:r>
    </w:p>
    <w:p w14:paraId="7174531D" w14:textId="77777777" w:rsidR="009D4CF3" w:rsidRDefault="00000000">
      <w:r>
        <w:t xml:space="preserve">Why action–result association might matter is not settled by previous work. Accounts of monomorphemic verbs hold that a verb can imply a result without entailing it and that the strength of the implication varies, whether across verbs (Chen, 2018) or across fulfillment types (Kou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w:t>
      </w:r>
      <w:r>
        <w:lastRenderedPageBreak/>
        <w:t>2021), a failed attempt at a typical means may make a V1 description less acceptable. The two dimensions usually go together but need not coincide (Kim &amp; Murphy, 2011). These possibilities are offered as interpretations of a difference between sets, not as hypotheses the study was designed to test.</w:t>
      </w:r>
    </w:p>
    <w:p w14:paraId="16A57566" w14:textId="77777777" w:rsidR="009D4CF3" w:rsidRDefault="00000000">
      <w:r>
        <w:t>A larger difference between sets in children than in adults would locate children’s stricter judgments mainly in V1s that name strongly associated actions. This pattern is compatible with three explanations that the binary task cannot separate: Children may find it harder than adults to set aside an inference that the result occurred, may reject a true description as inadequate because it leaves an expected result unaddressed, or may judge a failed attempt to be a poor instance of the action. The pragmatic explanation fits less naturally with a larger difference in children, because children tend to be more tolerant than adults of underinformative descriptions in binary judgment tasks (Katsos &amp; Bishop, 2011). Because adult acceptance in zero-result events may approach ceiling, however, a larger child difference on the probability scale could partly reflect the adult ceiling, which is why the comparison is evaluated on the log-odds scale.</w:t>
      </w:r>
    </w:p>
    <w:p w14:paraId="64959941" w14:textId="77777777" w:rsidR="009D4CF3" w:rsidRDefault="00000000">
      <w:r>
        <w:t xml:space="preserve">Because the stronger- and weaker-association expressions differ in both rated likelihood and rated typicality, the study cannot determine which dimension, or what the two share, underlies a difference between sets; the two ratings diverged only in Pair 7, which was excluded. The difference between sets also goes together with a difference in the conventionality of the corresponding RVCs. A child who often hears </w:t>
      </w:r>
      <w:r>
        <w:rPr>
          <w:i/>
        </w:rPr>
        <w:t>chuī-miè</w:t>
      </w:r>
      <w:r>
        <w:t xml:space="preserve"> “blow-extinguished” may come to expect a candle to go out after </w:t>
      </w:r>
      <w:r>
        <w:rPr>
          <w:i/>
        </w:rPr>
        <w:t>chuī</w:t>
      </w:r>
      <w:r>
        <w:t xml:space="preserve"> “blow,” so familiarity with the RVC offers an alternative account of a difference between sets. This account is not incompatible with the association account, because an action that reliably brings about a result is also likely to be described often with the corresponding RVC, but the present materials cannot separate the two.</w:t>
      </w:r>
    </w:p>
    <w:p w14:paraId="5A252C3A" w14:textId="77777777" w:rsidR="009D4CF3" w:rsidRDefault="00000000">
      <w:pPr>
        <w:pStyle w:val="Heading2"/>
      </w:pPr>
      <w:r>
        <w:lastRenderedPageBreak/>
        <w:t>Form and Information in Production</w:t>
      </w:r>
    </w:p>
    <w:p w14:paraId="5F1E9033" w14:textId="77777777" w:rsidR="009D4CF3" w:rsidRDefault="00000000">
      <w:r>
        <w:t xml:space="preserve">Comparing RVC use with mention of the target result separates the forms children use from the information they express. If both decline in zero-result events, speakers describing a failed attempt tend to leave the result unmentioned rather than express it in another form. If children mention the result without an RVC more often than adults, for example by naming the result alone or in a separate predicate, their lower RVC use reflects how they package the information rather than less attention to the result. In either case, RVC frequency alone cannot show whether children encode a result. Mentions of the result in zero-result events, typically negated as in </w:t>
      </w:r>
      <w:r>
        <w:rPr>
          <w:i/>
        </w:rPr>
        <w:t>méi bāo-kāi</w:t>
      </w:r>
      <w:r>
        <w:t xml:space="preserve"> “did not peel open,” indicate that the speaker treated the absent result as relevant to the event, and responses that affirm the target result in a zero-result event would indicate that a speaker described an unattained result as attained. Because the two experiments tested independent samples, links between comprehension and production hold at the group level only.</w:t>
      </w:r>
    </w:p>
    <w:p w14:paraId="328EDA48" w14:textId="77777777" w:rsidR="009D4CF3" w:rsidRDefault="00000000">
      <w:pPr>
        <w:pStyle w:val="Heading2"/>
      </w:pPr>
      <w:r>
        <w:t>Limitations and Future Directions</w:t>
      </w:r>
    </w:p>
    <w:p w14:paraId="2D58C942" w14:textId="77777777" w:rsidR="009D4CF3" w:rsidRDefault="00000000">
      <w:r>
        <w:t xml:space="preserve">Several limitations follow from the design.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tī</w:t>
      </w:r>
      <w: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t>
      </w:r>
      <w:r>
        <w:lastRenderedPageBreak/>
        <w:t>sets assigned between participants, each difference between sets rests on few items and small groups, and item-level estimates are descriptive; in addition, the ratings were collected and two pairs excluded after an initial analysis of the same children’s data, so the eight-pair results should be read together with the 10-pair analyses, and a difference between sets needs to be replicated with a new sample of children. Fifth, the ratings describe expressions rather than videos, and the videos did not always elicit the intended V1.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77777777" w:rsidR="009D4CF3" w:rsidRDefault="00000000">
      <w:r>
        <w:t xml:space="preserve">This study examines how Mandarin-speaking 4- and 5-year-olds interpret and describe events in which an action does or does not bring about a target result. Comparing RVC and V1 descriptions tests whether children distinguish a result expressed by V2 from one that is only associated with the action named by V1. Comparing V1s that name actions on the same object, but differ in how strongly those actions are associated with the same result, tests whether children’s interpretation of V1 descriptions varies with the relation between the action and the result rather than with the verb alone. Comparing RVC use with mention of the result in production asks whether children who use fewer RVCs also leave the result unexpressed. </w:t>
      </w:r>
      <w:r>
        <w:rPr>
          <w:highlight w:val="yellow"/>
        </w:rPr>
        <w:t>⟦结论待根据结果改写⟧</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 xml:space="preserve">(2), 191–222. https://doi.org/10.1017/cnj.2021.11 </w:t>
      </w:r>
      <w:r>
        <w:rPr>
          <w:highlight w:val="yellow"/>
        </w:rPr>
        <w:t>⟦</w:t>
      </w:r>
      <w:proofErr w:type="spellStart"/>
      <w:r>
        <w:rPr>
          <w:highlight w:val="yellow"/>
        </w:rPr>
        <w:t>待核：页码</w:t>
      </w:r>
      <w:proofErr w:type="spellEnd"/>
      <w:r>
        <w:rPr>
          <w:highlight w:val="yellow"/>
        </w:rPr>
        <w:t>⟧</w:t>
      </w:r>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 </w:t>
      </w:r>
      <w:r>
        <w:rPr>
          <w:highlight w:val="yellow"/>
        </w:rPr>
        <w:t>⟦</w:t>
      </w:r>
      <w:proofErr w:type="spellStart"/>
      <w:r>
        <w:rPr>
          <w:highlight w:val="yellow"/>
        </w:rPr>
        <w:t>待核：题名与链接</w:t>
      </w:r>
      <w:proofErr w:type="spellEnd"/>
      <w:r>
        <w:rPr>
          <w:highlight w:val="yellow"/>
        </w:rPr>
        <w:t>⟧</w:t>
      </w:r>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 H. (2020).</w:t>
      </w:r>
      <w:proofErr w:type="spellEnd"/>
      <w:r>
        <w:t xml:space="preserve">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xml:space="preserve">. Universität Tübingen. </w:t>
      </w:r>
      <w:r>
        <w:rPr>
          <w:highlight w:val="yellow"/>
        </w:rPr>
        <w:t>⟦</w:t>
      </w:r>
      <w:proofErr w:type="spellStart"/>
      <w:r>
        <w:rPr>
          <w:highlight w:val="yellow"/>
        </w:rPr>
        <w:t>待核：页码与链接</w:t>
      </w:r>
      <w:proofErr w:type="spellEnd"/>
      <w:r>
        <w:rPr>
          <w:highlight w:val="yellow"/>
        </w:rPr>
        <w:t>⟧</w:t>
      </w:r>
    </w:p>
    <w:p w14:paraId="7B440D0E"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 </w:t>
      </w:r>
      <w:r>
        <w:rPr>
          <w:highlight w:val="yellow"/>
        </w:rPr>
        <w:t>⟦待补：ResearchGate 链接或 DOI⟧</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t xml:space="preserve">R Core Team. (2024). </w:t>
      </w:r>
      <w:r>
        <w:rPr>
          <w:i/>
        </w:rPr>
        <w:t>R: A language and environment for statistical computing</w:t>
      </w:r>
      <w:r>
        <w:t>. R Foundation for Statistical Computing. https://www.R-project.org/</w:t>
      </w:r>
    </w:p>
    <w:p w14:paraId="1EE64877" w14:textId="77777777" w:rsidR="008215DC" w:rsidRDefault="00000000">
      <w:pPr>
        <w:pStyle w:val="Reference"/>
      </w:pPr>
      <w:proofErr w:type="spellStart"/>
      <w:r>
        <w:lastRenderedPageBreak/>
        <w:t>Skordos</w:t>
      </w:r>
      <w:proofErr w:type="spellEnd"/>
      <w:r>
        <w:t xml:space="preserve">, D., &amp; </w:t>
      </w:r>
      <w:proofErr w:type="spellStart"/>
      <w:r>
        <w:t>Papafragou</w:t>
      </w:r>
      <w:proofErr w:type="spellEnd"/>
      <w:r>
        <w:t xml:space="preserve">, A. (2016). Children’s derivation of scalar implicatures: Alternatives and relevance. </w:t>
      </w:r>
      <w:r>
        <w:rPr>
          <w:i/>
          <w:iCs/>
        </w:rPr>
        <w:t>Cognition, 153</w:t>
      </w:r>
      <w:r>
        <w:t xml:space="preserve">, 6–18. https://doi.org/10.1016/j.cognition.2016.04.006 </w:t>
      </w:r>
      <w:r>
        <w:rPr>
          <w:highlight w:val="yellow"/>
        </w:rPr>
        <w:t>⟦</w:t>
      </w:r>
      <w:proofErr w:type="spellStart"/>
      <w:r>
        <w:rPr>
          <w:highlight w:val="yellow"/>
        </w:rPr>
        <w:t>待核：DOI</w:t>
      </w:r>
      <w:proofErr w:type="spellEnd"/>
      <w:r>
        <w:rPr>
          <w:highlight w:val="yellow"/>
        </w:rPr>
        <w:t>⟧</w:t>
      </w:r>
    </w:p>
    <w:p w14:paraId="0376CB4F" w14:textId="77777777" w:rsidR="009D4CF3" w:rsidRDefault="00000000">
      <w:pPr>
        <w:pStyle w:val="Reference"/>
      </w:pPr>
      <w:r>
        <w:t xml:space="preserve">Speer, R. (2022). </w:t>
      </w:r>
      <w:r>
        <w:rPr>
          <w:i/>
        </w:rPr>
        <w:t>wordfreq</w:t>
      </w:r>
      <w:r>
        <w:t xml:space="preserve"> (Version 3.0) [Computer software]. Zenodo. https://doi.org/10.5281/zenodo.7199437 </w:t>
      </w:r>
      <w:r>
        <w:rPr>
          <w:highlight w:val="yellow"/>
        </w:rPr>
        <w:t>⟦待核：所用版本为 3.1.1；DOI⟧</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 </w:t>
      </w:r>
      <w:r>
        <w:rPr>
          <w:highlight w:val="yellow"/>
        </w:rPr>
        <w:t>⟦</w:t>
      </w:r>
      <w:proofErr w:type="spellStart"/>
      <w:r>
        <w:rPr>
          <w:highlight w:val="yellow"/>
        </w:rPr>
        <w:t>待核：题名</w:t>
      </w:r>
      <w:proofErr w:type="spellEnd"/>
      <w:r>
        <w:rPr>
          <w:highlight w:val="yellow"/>
        </w:rPr>
        <w:t xml:space="preserve"> time/times⟧</w:t>
      </w:r>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 xml:space="preserve">(1), 71–86. </w:t>
      </w:r>
      <w:r>
        <w:rPr>
          <w:highlight w:val="yellow"/>
        </w:rPr>
        <w:t>⟦待核：作者、题名与卷期⟧</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0AEBD" w14:textId="77777777" w:rsidR="00621C6F" w:rsidRDefault="00621C6F">
      <w:r>
        <w:separator/>
      </w:r>
    </w:p>
  </w:endnote>
  <w:endnote w:type="continuationSeparator" w:id="0">
    <w:p w14:paraId="358EE5DE" w14:textId="77777777" w:rsidR="00621C6F" w:rsidRDefault="00621C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8E147" w14:textId="77777777" w:rsidR="00621C6F" w:rsidRDefault="00621C6F">
      <w:r>
        <w:separator/>
      </w:r>
    </w:p>
  </w:footnote>
  <w:footnote w:type="continuationSeparator" w:id="0">
    <w:p w14:paraId="270A258F" w14:textId="77777777" w:rsidR="00621C6F" w:rsidRDefault="00621C6F">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197B71"/>
    <w:rsid w:val="003B797C"/>
    <w:rsid w:val="00447DD2"/>
    <w:rsid w:val="00477123"/>
    <w:rsid w:val="004B1F49"/>
    <w:rsid w:val="0055050F"/>
    <w:rsid w:val="0055310B"/>
    <w:rsid w:val="005B1EF1"/>
    <w:rsid w:val="005E64BA"/>
    <w:rsid w:val="005F1988"/>
    <w:rsid w:val="00621C6F"/>
    <w:rsid w:val="006B7B7E"/>
    <w:rsid w:val="00706240"/>
    <w:rsid w:val="00782C6A"/>
    <w:rsid w:val="008215DC"/>
    <w:rsid w:val="0086069B"/>
    <w:rsid w:val="009B1284"/>
    <w:rsid w:val="009D4CF3"/>
    <w:rsid w:val="009F5C76"/>
    <w:rsid w:val="00B64FC7"/>
    <w:rsid w:val="00C3541B"/>
    <w:rsid w:val="00C37B3C"/>
    <w:rsid w:val="00C77721"/>
    <w:rsid w:val="00D331C0"/>
    <w:rsid w:val="00DF4AE6"/>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32</Pages>
  <Words>8762</Words>
  <Characters>49949</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3</cp:revision>
  <dcterms:created xsi:type="dcterms:W3CDTF">2026-10-14T04:12:00Z</dcterms:created>
  <dcterms:modified xsi:type="dcterms:W3CDTF">2026-10-15T03:34:00Z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