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58A1352D" w14:textId="77777777" w:rsidR="008215DC" w:rsidRDefault="00000000">
      <w:pPr>
        <w:pStyle w:val="Heading1"/>
      </w:pPr>
      <w:r>
        <w:rPr/>
        <w:t xml:space="preserve">Abstract</w:t>
      </w:r>
    </w:p>
    <w:p w14:paraId="58A1352D" w14:textId="77777777" w:rsidR="008215DC" w:rsidRDefault="00000000">
      <w:pPr>
        <w:ind w:firstLine="0"/>
      </w:pPr>
      <w:r>
        <w:rPr/>
        <w:t xml:space="preserve">Mandarin resultative verb compounds (RVCs), such as </w:t>
      </w:r>
      <w:r>
        <w:rPr>
          <w:i/>
        </w:rPr>
        <w:t xml:space="preserve">chuī-miè</w:t>
      </w:r>
      <w:r>
        <w:rPr/>
        <w:t xml:space="preserve"> “blow-extinguished,” entail the result named by the second verb, whereas their monomorphemic first verbs (V1s), such as </w:t>
      </w:r>
      <w:r>
        <w:rPr>
          <w:i/>
        </w:rPr>
        <w:t xml:space="preserve">chuī</w:t>
      </w:r>
      <w:r>
        <w:rPr/>
        <w:t xml:space="preserve"> “blow,” only suggest it. This study examined how Mandarin-speaking 4- and 5-year-olds and adults interpret and describe events in which an action does or does not bring about a target result. The materials comprised pairs of actions performed on the same object with the same target result, which differed in how strongly the action was associated with the result, as verified by adult ratings of result likelihood and action typicality. In a yes–no judgment task (</w:t>
      </w:r>
      <w:r>
        <w:rPr>
          <w:i/>
        </w:rPr>
        <w:t xml:space="preserve">N</w:t>
      </w:r>
      <w:r>
        <w:rPr/>
        <w:t xml:space="preserve"> = 104), all age groups rejected RVC descriptions of zero-result events and accepted V1 descriptions of these events more often, although children accepted V1 descriptions less often than adults. In all groups, V1 descriptions of zero-result events were accepted less often when the V1 named an action more strongly associated with the result. This association effect did not differ credibly between children and adults, and children’s lower acceptance held for both stronger- and weaker-association V1s. In an elicited-production task (</w:t>
      </w:r>
      <w:r>
        <w:rPr>
          <w:i/>
        </w:rPr>
        <w:t xml:space="preserve">N</w:t>
      </w:r>
      <w:r>
        <w:rPr/>
        <w:t xml:space="preserve"> = 104), all groups produced fewer RVCs and mentioned the result less often for zero-result events, and children produced fewer RVCs than adults mainly because they mentioned the result less often. The findings suggest that what a V1 conveys about a result depends on the relation between the named action and the result, for children as for adults.</w:t>
      </w:r>
    </w:p>
    <w:p w14:paraId="58A1352D" w14:textId="77777777" w:rsidR="008215DC" w:rsidRDefault="00000000">
      <w:pPr>
        <w:pageBreakBefore w:val="0"/>
        <w:ind w:firstLine="720"/>
      </w:pPr>
      <w:r>
        <w:rPr>
          <w:i/>
        </w:rPr>
        <w:t xml:space="preserve">Keywords:</w:t>
      </w:r>
      <w:r>
        <w:rPr/>
        <w:t xml:space="preserve"> resultative verb compounds, Mandarin Chinese, event culmination, action–result association, verb semantics, comprehension and production</w:t>
      </w:r>
    </w:p>
    <w:p w14:paraId="58A1352D" w14:textId="77777777" w:rsidR="008215DC" w:rsidRDefault="00000000">
      <w:pPr>
        <w:pStyle w:val="Title"/>
        <w:pageBreakBefore/>
      </w:pPr>
      <w:r>
        <w:rPr/>
        <w:t xml:space="preserve">Mandarin-Speaking Children’s Interpretation and Expression of Actions and Results: Evidence From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rPr>
          <w:i/>
        </w:rPr>
        <w:t>kū-shī</w:t>
      </w:r>
      <w:proofErr w:type="spellEnd"/>
      <w:r w:rsidRPr="00197B71">
        <w:t xml:space="preserve"> </w:t>
      </w:r>
      <w:proofErr w:type="spellStart"/>
      <w:r w:rsidRPr="00197B71">
        <w:rPr>
          <w:i/>
        </w:rPr>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i/>
        </w:rPr>
        <w:t>tī</w:t>
      </w:r>
      <w:proofErr w:type="spellEnd"/>
      <w:r w:rsidRPr="00EA6370">
        <w:t xml:space="preserve"> “kick” forms both </w:t>
      </w:r>
      <w:proofErr w:type="spellStart"/>
      <w:r w:rsidRPr="00EA6370">
        <w:rPr>
          <w:i/>
        </w:rPr>
        <w:t>tī-dǎo</w:t>
      </w:r>
      <w:proofErr w:type="spellEnd"/>
      <w:r w:rsidRPr="00EA6370">
        <w:t xml:space="preserve"> “kick-fallen” and </w:t>
      </w:r>
      <w:proofErr w:type="spellStart"/>
      <w:r w:rsidRPr="00EA6370">
        <w:rPr>
          <w:i/>
        </w:rPr>
        <w:t>tī-kāi</w:t>
      </w:r>
      <w:proofErr w:type="spellEnd"/>
      <w:r w:rsidRPr="00EA6370">
        <w:t xml:space="preserve"> “kick-open,” and </w:t>
      </w:r>
      <w:proofErr w:type="spellStart"/>
      <w:r w:rsidRPr="00EA6370">
        <w:rPr>
          <w:i/>
        </w:rPr>
        <w:t>miè</w:t>
      </w:r>
      <w:proofErr w:type="spellEnd"/>
      <w:r w:rsidRPr="00EA6370">
        <w:t xml:space="preserve"> “extinguished” follows both </w:t>
      </w:r>
      <w:proofErr w:type="spellStart"/>
      <w:r w:rsidRPr="00EA6370">
        <w:rPr>
          <w:i/>
        </w:rPr>
        <w:t>chuī</w:t>
      </w:r>
      <w:proofErr w:type="spellEnd"/>
      <w:r w:rsidRPr="00EA6370">
        <w:t xml:space="preserve"> “blow” and </w:t>
      </w:r>
      <w:proofErr w:type="spellStart"/>
      <w:r w:rsidRPr="00EA6370">
        <w:rPr>
          <w:i/>
        </w:rPr>
        <w:t>pū</w:t>
      </w:r>
      <w:proofErr w:type="spellEnd"/>
      <w:r w:rsidRPr="00EA6370">
        <w:t xml:space="preserve"> “beat.”</w:t>
      </w:r>
      <w:r>
        <w:t xml:space="preserve"> These combinations are not equally conventional, however. By </w:t>
      </w:r>
      <w:r>
        <w:rPr>
          <w:i/>
        </w:rPr>
        <w:t>conventional</w:t>
      </w:r>
      <w:r>
        <w:t xml:space="preserve"> we mean how established an RVC is as an expression, that is, how commonly speakers use it: </w:t>
      </w:r>
      <w:r>
        <w:rPr>
          <w:i/>
        </w:rPr>
        <w:t>chuī-miè</w:t>
      </w:r>
      <w:r>
        <w:t xml:space="preserve"> “blow-extinguished” is a common expression, whereas </w:t>
      </w:r>
      <w:r>
        <w:rPr>
          <w:i/>
        </w:rPr>
        <w:t>huī-miè</w:t>
      </w:r>
      <w:r>
        <w:t xml:space="preserve"> “wave-extinguished” is hardly ever used. If whether a compound is possible depends on how the action relates to the result, how conventional it is may depend on this relation as well: An action that is a natural means of bringing about a result is likely to be described often with the corresponding RVC. The two are nonetheless distinct, because conventionality concerns the expression, whereas the relation concerns the event. Existing accounts do not specify what makes a given action a more or less natural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w:t>
      </w:r>
      <w:r>
        <w:lastRenderedPageBreak/>
        <w:t>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xml:space="preserve">, 1991, 2000), and as causative verbs that nevertheless allow zero-change construals (Martin et al., 2020, 2026).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xml:space="preserve">’ expectations about events depend on the combination of a verb with its arguments rather than on the verb alone (Bicknell et al., 2010; McRae &amp; Matsuki, </w:t>
      </w:r>
      <w:r>
        <w:lastRenderedPageBreak/>
        <w:t>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how typical the action is as a means of achieving that result. The two ratings approach the relation from the action and from the result, respectively: Blowing on a candle, for example, is both likely to put it out and a typical way of doing so, whereas waving at it is neither. Both ratings concern the relation between an action and a result in the event, not how conventional the corresponding RVC is.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w:t>
      </w:r>
      <w:r w:rsidRPr="00DF4AE6">
        <w:lastRenderedPageBreak/>
        <w:t xml:space="preserve">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rPr>
          <w:i/>
        </w:rPr>
        <w:t>hǎojǐcì</w:t>
      </w:r>
      <w:proofErr w:type="spellEnd"/>
      <w:r w:rsidRPr="00DF4AE6">
        <w:t xml:space="preserve"> “several times” increased acceptance in all age groups. Children’s rejections also varied across verbs. In Chen’s (2017) study, </w:t>
      </w:r>
      <w:proofErr w:type="spellStart"/>
      <w:r w:rsidRPr="00DF4AE6">
        <w:rPr>
          <w:i/>
        </w:rPr>
        <w:t>guān</w:t>
      </w:r>
      <w:proofErr w:type="spellEnd"/>
      <w:r w:rsidRPr="00DF4AE6">
        <w:t xml:space="preserve"> “close” and </w:t>
      </w:r>
      <w:proofErr w:type="spellStart"/>
      <w:r w:rsidRPr="00DF4AE6">
        <w:rPr>
          <w:i/>
        </w:rPr>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w:t>
      </w:r>
      <w:r w:rsidRPr="00C37B3C">
        <w:lastRenderedPageBreak/>
        <w:t xml:space="preserve">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i/>
        </w:rPr>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lastRenderedPageBreak/>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rPr>
          <w:i/>
        </w:rPr>
        <w:t>méi</w:t>
      </w:r>
      <w:proofErr w:type="spellEnd"/>
      <w:r w:rsidRPr="005E64BA">
        <w:t xml:space="preserve"> </w:t>
      </w:r>
      <w:proofErr w:type="spellStart"/>
      <w:r w:rsidRPr="005E64BA">
        <w:rPr>
          <w:i/>
        </w:rPr>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w:t>
      </w:r>
      <w:r>
        <w:t>association V1s, form the materials for the analyses of Experiment 1. The two remaining pairs, in which the typicality difference was reversed or neither difference was reliable, are excluded from these analyses (see Pair Selection).</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them, particularly in zero-result events, and does this difference differ between children and adults?</w:t>
      </w:r>
    </w:p>
    <w:p w14:paraId="455138B3" w14:textId="77777777" w:rsidR="0055310B" w:rsidRPr="0055310B" w:rsidRDefault="00000000" w:rsidP="0055310B">
      <w:r>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in all age groups, with a smaller difference in full-result events, and children are expected to accept V1 descriptions of zero-result events less often than adults regardless of association (Chen, 2017; J. Liu et al., 2026). No directional prediction is made about whether the association effect differs between children and adults. An initial analysis of the child data with all 10 pairs and the original Strong/Weak coding showed effects of both association and age group on V1 acceptance in zero-result events but no interaction between them (see Pair Selection).</w:t>
      </w:r>
    </w:p>
    <w:p w14:paraId="57F90C35" w14:textId="77777777" w:rsidR="00C3541B" w:rsidRPr="00C3541B" w:rsidRDefault="00C3541B" w:rsidP="00C3541B">
      <w:r w:rsidRPr="00C3541B">
        <w:lastRenderedPageBreak/>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w:t>
      </w:r>
      <w:r>
        <w:lastRenderedPageBreak/>
        <w:t>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thus comprise 10 expected stronger-association expressions and their 10 expected weaker-association partners.</w:t>
      </w:r>
    </w:p>
    <w:p w14:paraId="69138DD9" w14:textId="77777777" w:rsidR="009D4CF3" w:rsidRDefault="00000000">
      <w:r>
        <w:t xml:space="preserve">When the materials were designed, the V1s were classified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w:t>
      </w:r>
      <w:r>
        <w:t xml:space="preserve">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of the Weak V1s in the present materials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 V1s grouped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lastRenderedPageBreak/>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kāi</w:t>
            </w:r>
            <w:r>
              <w:br/>
              <w:t>“open”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sī-kāi</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2,810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chě</w:t>
            </w:r>
            <w:r>
              <w:br/>
              <w:t>“pull”</w:t>
            </w:r>
          </w:p>
        </w:tc>
        <w:tc>
          <w:tcPr>
            <w:tcW w:w="1368" w:type="dxa"/>
          </w:tcPr>
          <w:p w14:paraId="06139747" w14:textId="77777777" w:rsidR="009D4CF3" w:rsidRDefault="00000000">
            <w:pPr>
              <w:pStyle w:val="TableText"/>
              <w:keepNext/>
            </w:pPr>
            <w:r>
              <w:rPr>
                <w:i/>
              </w:rPr>
              <w:t>chě-kāi</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840ᵈ</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kāi</w:t>
            </w:r>
            <w:r>
              <w:br/>
              <w:t>“open”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jiā-kāi</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21</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chuí-kāi</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w:t>
            </w:r>
          </w:p>
        </w:tc>
      </w:tr>
    </w:tbl>
    <w:p w14:paraId="461146B5" w14:textId="764D5272" w:rsidR="009D4CF3" w:rsidRPr="0055050F" w:rsidRDefault="00000000">
      <w:pPr>
        <w:pStyle w:val="TableNote"/>
        <w:rPr>
          <w:rFonts w:eastAsiaTheme="minor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the stronger/weaker labels follow the original design. ᵇ Mostly figurative uses. </w:t>
      </w:r>
      <w:r>
        <w:rPr/>
        <w:t xml:space="preserve">ᶜ Includes many abstract uses. ᵈ Includes idiomatic uses such as </w:t>
      </w:r>
      <w:r>
        <w:rPr>
          <w:i/>
        </w:rPr>
        <w:t xml:space="preserve">chě-kāi sǎngzi</w:t>
      </w:r>
      <w:r>
        <w:rPr/>
        <w:t xml:space="preserve"> “pull-open throat,” “raise one’s voice.”</w:t>
      </w:r>
    </w:p>
    <w:p w14:paraId="1FD25982" w14:textId="3047BDFB" w:rsidR="009D4CF3" w:rsidRPr="0055050F" w:rsidRDefault="00000000">
      <w:pPr>
        <w:rPr>
          <w:rFonts w:eastAsiaTheme="minor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w:t>
      </w:r>
      <w:r>
        <w:rPr/>
        <w:t xml:space="preserve"> Figure 1 shows stills from the four videos of one pair.</w:t>
      </w:r>
      <w:r>
        <w:rPr>
          <w:highlight w:val="yellow"/>
        </w:rPr>
      </w:r>
      <w:proofErr w:type="spellStart"/>
      <w:r>
        <w:rPr>
          <w:highlight w:val="yellow"/>
        </w:rPr>
      </w:r>
      <w:proofErr w:type="spellEnd"/>
      <w:r>
        <w:rPr>
          <w:highlight w:val="yellow"/>
        </w:rPr>
      </w:r>
    </w:p>
    <w:p w14:paraId="1FD25982" w14:textId="3047BDFB" w:rsidR="009D4CF3" w:rsidRPr="0055050F" w:rsidRDefault="00000000">
      <w:pPr>
        <w:pStyle w:val="TableNumber"/>
      </w:pPr>
      <w:r>
        <w:rPr/>
        <w:t xml:space="preserve">Figure 1</w:t>
      </w:r>
    </w:p>
    <w:p w14:paraId="1FD25982" w14:textId="3047BDFB" w:rsidR="009D4CF3" w:rsidRPr="0055050F" w:rsidRDefault="00000000">
      <w:pPr>
        <w:pStyle w:val="TableTitle"/>
      </w:pPr>
      <w:r>
        <w:rPr>
          <w:i/>
        </w:rPr>
        <w:t xml:space="preserve">Stills From the Full-Result and Zero-Result Videos of Pair 2</w:t>
      </w:r>
    </w:p>
    <w:p w14:paraId="1FD25982" w14:textId="3047BDFB" w:rsidR="009D4CF3" w:rsidRPr="0055050F" w:rsidRDefault="00000000">
      <w:pPr>
        <w:keepNext/>
        <w:ind w:firstLine="0"/>
        <w:jc w:val="center"/>
      </w:pPr>
      <w:r>
        <w:drawing>
          <wp:inline xmlns:a="http://schemas.openxmlformats.org/drawingml/2006/main" xmlns:pic="http://schemas.openxmlformats.org/drawingml/2006/picture">
            <wp:extent cx="5486400" cy="3525964"/>
            <wp:docPr id="4" name="Picture 4"/>
            <wp:cNvGraphicFramePr>
              <a:graphicFrameLocks noChangeAspect="1"/>
            </wp:cNvGraphicFramePr>
            <a:graphic>
              <a:graphicData uri="http://schemas.openxmlformats.org/drawingml/2006/picture">
                <pic:pic>
                  <pic:nvPicPr>
                    <pic:cNvPr id="0" name="fig1_stills.png"/>
                    <pic:cNvPicPr/>
                  </pic:nvPicPr>
                  <pic:blipFill>
                    <a:blip r:embed="rId14"/>
                    <a:stretch>
                      <a:fillRect/>
                    </a:stretch>
                  </pic:blipFill>
                  <pic:spPr>
                    <a:xfrm>
                      <a:off x="0" y="0"/>
                      <a:ext cx="5486400" cy="3525964"/>
                    </a:xfrm>
                    <a:prstGeom prst="rect"/>
                  </pic:spPr>
                </pic:pic>
              </a:graphicData>
            </a:graphic>
          </wp:inline>
        </w:drawing>
      </w:r>
    </w:p>
    <w:p w14:paraId="1FD25982" w14:textId="3047BDFB" w:rsidR="009D4CF3" w:rsidRPr="0055050F" w:rsidRDefault="00000000">
      <w:pPr>
        <w:pStyle w:val="TableNote"/>
      </w:pPr>
      <w:r>
        <w:rPr>
          <w:i/>
        </w:rPr>
        <w:t xml:space="preserve">Note.</w:t>
      </w:r>
      <w:r>
        <w:rPr/>
        <w:t xml:space="preserve"> The actor flips (</w:t>
      </w:r>
      <w:r>
        <w:rPr>
          <w:i/>
        </w:rPr>
        <w:t xml:space="preserve">xiān</w:t>
      </w:r>
      <w:r>
        <w:rPr/>
        <w:t xml:space="preserve">) or slaps (</w:t>
      </w:r>
      <w:r>
        <w:rPr>
          <w:i/>
        </w:rPr>
        <w:t xml:space="preserve">pāi</w:t>
      </w:r>
      <w:r>
        <w:rPr/>
        <w:t xml:space="preserve">) a stool; the target result is </w:t>
      </w:r>
      <w:r>
        <w:rPr>
          <w:i/>
        </w:rPr>
        <w:t xml:space="preserve">fān</w:t>
      </w:r>
      <w:r>
        <w:rPr/>
        <w:t xml:space="preserve"> “overturned.” Stills show the start, middle, and end of each video.</w:t>
      </w:r>
    </w:p>
    <w:p w14:paraId="63C09C34" w14:textId="77777777" w:rsidR="009D4CF3" w:rsidRDefault="00000000">
      <w:pPr>
        <w:pStyle w:val="Heading2"/>
      </w:pPr>
      <w:r>
        <w:lastRenderedPageBreak/>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either the 10 videos of the stronger-association actions or the 10 videos of the weaker-association actions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xml:space="preserve">). The intended V1 </w:t>
      </w:r>
      <w:r>
        <w:rPr/>
        <w:t xml:space="preserve">appeared in 74% of first descriptions</w:t>
      </w:r>
      <w:r>
        <w:rPr/>
        <w:t xml:space="preserve"> and in 72% of all descriptions; when it did not appear, it was rated as natural (</w:t>
      </w:r>
      <w:r>
        <w:rPr>
          <w:i/>
        </w:rPr>
        <w:t>M</w:t>
      </w:r>
      <w:r>
        <w:t xml:space="preserve"> = 4.32, </w:t>
      </w:r>
      <w:r>
        <w:rPr>
          <w:i/>
        </w:rPr>
        <w:t>SD</w:t>
      </w:r>
      <w:r>
        <w:t xml:space="preserve"> = 0.79, range = 2.67–5).</w:t>
      </w:r>
      <w:r>
        <w:rPr/>
        <w:t xml:space="preserve"> Item-level values are given in Table A1 in the Appendix.</w:t>
      </w:r>
      <w:r>
        <w:rPr>
          <w:highlight w:val="yellow"/>
        </w:rPr>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rPr>
      </w:pPr>
      <w:r>
        <w:t xml:space="preserve">Twenty native speakers of Mandarin (21–35 years, </w:t>
      </w:r>
      <w:r>
        <w:rPr>
          <w:i/>
        </w:rPr>
        <w:t>M</w:t>
      </w:r>
      <w:r>
        <w:t xml:space="preserve"> = 28.2</w:t>
      </w:r>
      <w:r>
        <w:rPr/>
        <w:t xml:space="preserve">; 9 female)</w:t>
      </w:r>
      <w:r>
        <w:rPr>
          <w:highlight w:val="yellow"/>
        </w:rPr>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w:t>
      </w:r>
      <w:r>
        <w:rPr/>
        <w:t xml:space="preserve">the paper ended up torn apart?</w:t>
      </w:r>
      <w:r>
        <w:rPr/>
        <w:t xml:space="preserve">” The instructions asked participants to judge, on the basis of the sentence and their everyday experience, how likely it was that the stated result eventually occurred. They </w:t>
      </w:r>
      <w:r>
        <w:lastRenderedPageBreak/>
        <w:t xml:space="preserve">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t>
      </w:r>
      <w:r>
        <w:rPr/>
        <w:t xml:space="preserve">wants to crack the walnut open.</w:t>
      </w:r>
      <w:r>
        <w:rPr/>
        <w:t xml:space="preserve">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2E35A203" w14:textId="77777777" w:rsidR="009D4CF3" w:rsidRPr="00C77721" w:rsidRDefault="00000000">
      <w:pPr>
        <w:rPr>
          <w:rFonts w:eastAsiaTheme="minorEastAsia"/>
        </w:rPr>
      </w:pPr>
      <w:r>
        <w:t>Four lists were constructed, and five raters completed each list. In all lists, the 20 likelihood items preceded the 20 typicality items. Within each block, the 10 stronger-association expressions and the 10 weaker-association expressions were presented in separate halves, with the pairs in the same order in both halves, so that the two members of each pair were always separated by nine other items. The stronger-association expressions came first in Lists 1 and 3, and the weaker-association expressions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lastRenderedPageBreak/>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classified as stronger- or weaker-association actions. The two pairs remained in the experimental lists, so all participants saw all 10 pairs, but their trials are excluded from the analyses of Experiment 1. The original design included all </w:t>
      </w:r>
      <w:r>
        <w:lastRenderedPageBreak/>
        <w:t>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As noted in the Introduction, whether a V1 and a V2 combine depends on how the action named by V1 relates to the result named by V2. If the two actions in a pair differ in their association with the target result, this difference should also be reflected in the language, such that the RVC formed with the stronger-association V1 is the more conventional one. Corpus frequency thus provides a check on the contrast between the paired V1s that does not rely on the adult ratings, although conventionality concerns the RVC as an expression rather than the action–result relation itself.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w:t>
      </w:r>
      <w:r>
        <w:lastRenderedPageBreak/>
        <w:t xml:space="preserve">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w:t>
      </w:r>
      <w:r>
        <w:rPr/>
        <w:t xml:space="preserve">(e.g., </w:t>
      </w:r>
      <w:r>
        <w:rPr>
          <w:i/>
        </w:rPr>
        <w:t xml:space="preserve">chě-kāi sǎngzi</w:t>
      </w:r>
      <w:r>
        <w:rPr/>
        <w:t xml:space="preserve"> “pull-open throat,” “raise one’s voice”)</w:t>
      </w:r>
      <w:r>
        <w:rPr>
          <w:i/>
        </w:rPr>
      </w:r>
      <w:r>
        <w:t xml:space="preserv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lastRenderedPageBreak/>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w:t>
      </w:r>
      <w:r>
        <w:rPr/>
        <w:t xml:space="preserve">(14 female; 4;0–4;10, </w:t>
      </w:r>
      <w:r>
        <w:rPr>
          <w:i/>
        </w:rPr>
        <w:t xml:space="preserve">M</w:t>
      </w:r>
      <w:r>
        <w:rPr/>
        <w:t xml:space="preserve"> = 4;7)</w:t>
      </w:r>
      <w:r>
        <w:rPr>
          <w:highlight w:val="yellow"/>
        </w:rPr>
      </w:r>
      <w:r>
        <w:t xml:space="preserve">, 32 five-year-olds </w:t>
      </w:r>
      <w:r>
        <w:rPr/>
        <w:t xml:space="preserve">(15 female; 5;0–5;11, </w:t>
      </w:r>
      <w:r>
        <w:rPr>
          <w:i/>
        </w:rPr>
        <w:t xml:space="preserve">M</w:t>
      </w:r>
      <w:r>
        <w:rPr/>
        <w:t xml:space="preserve"> = 5;5)</w:t>
      </w:r>
      <w:r>
        <w:rPr>
          <w:highlight w:val="yellow"/>
        </w:rPr>
      </w:r>
      <w:r>
        <w:t xml:space="preserve">, and 40 adults (18 female; </w:t>
      </w:r>
      <w:r>
        <w:rPr/>
        <w:t xml:space="preserve">18;4–37;3 years, </w:t>
      </w:r>
      <w:r>
        <w:rPr>
          <w:i/>
        </w:rPr>
        <w:t xml:space="preserve">M</w:t>
      </w:r>
      <w:r>
        <w:rPr/>
        <w:t xml:space="preserve"> = 23.1</w:t>
      </w:r>
      <w:r>
        <w:rPr>
          <w:i/>
        </w:rPr>
      </w:r>
      <w:r>
        <w:t>).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2808DBC4" w:rsidR="009D4CF3" w:rsidRDefault="00000000">
      <w:r>
        <w:t>Form (RVC vs. V1) and Action–Result Association (Stronger vs. Weaker) were manipulated between participants, and Result Realization (Full vs. Zero) within participants.</w:t>
      </w:r>
      <w:r w:rsidR="002014B3">
        <w:rPr>
          <w:rFonts w:eastAsiaTheme="minorEastAsia" w:hint="eastAsia"/>
        </w:rPr>
      </w:r>
      <w:r/>
      <w:r w:rsidR="002014B3">
        <w:rPr>
          <w:rFonts w:eastAsiaTheme="minorEastAsia" w:hint="eastAsia"/>
        </w:rPr>
      </w:r>
      <w:r/>
      <w:r w:rsidR="002014B3">
        <w:rPr>
          <w:rFonts w:eastAsiaTheme="minorEastAsia" w:hint="eastAsia"/>
        </w:rPr>
      </w:r>
      <w:r>
        <w:t xml:space="preserve"> Eight lists crossed four event lists with the two forms. Each event list contained one action from each of the 10 pairs, either all stronger-association or all weaker-association actions, with five videos in their full-result and five in their zero-result version; across the two event lists with the same actions,</w:t>
      </w:r>
      <w:r>
        <w:t xml:space="preserve">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the stronger-association actions, like those of the weaker-association actions, were judged by eight children per age group and 10 adults, and each V1 description in a given result condition by about four children per age group. Comparisons between stronger- and weaker-association V1s are therefore largely between participants, and item-level estimates are imprecise.</w:t>
      </w:r>
    </w:p>
    <w:p w14:paraId="56804D9F" w14:textId="77777777" w:rsidR="009D4CF3" w:rsidRDefault="00000000">
      <w:pPr>
        <w:pStyle w:val="Heading3"/>
      </w:pPr>
      <w:r>
        <w:t>Procedure</w:t>
      </w:r>
    </w:p>
    <w:p w14:paraId="132EAC99" w14:textId="77777777" w:rsidR="009D4CF3" w:rsidRDefault="00000000">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w:t>
      </w:r>
      <w:r>
        <w:lastRenderedPageBreak/>
        <w:t xml:space="preserve">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1BE25096" w:rsidR="009D4CF3" w:rsidRPr="002014B3" w:rsidRDefault="00000000">
      <w:pPr>
        <w:pStyle w:val="Heading3"/>
        <w:rPr>
          <w:rFonts w:eastAsiaTheme="minorEastAsia" w:hint="eastAsia"/>
        </w:rPr>
      </w:pPr>
      <w:r>
        <w:t>RVC and V1 Descriptions</w:t>
      </w:r>
      <w:r w:rsidR="002014B3">
        <w:rPr>
          <w:rFonts w:eastAsiaTheme="minorEastAsia" w:hint="eastAsia"/>
        </w:rPr>
      </w:r>
    </w:p>
    <w:p w14:paraId="30F5A172" w14:textId="77777777" w:rsidR="009D4CF3" w:rsidRDefault="00000000">
      <w:r>
        <w:t>The first model addresses RQ1. It includes Form (RVC vs. V1), Result Realization (Full vs. Zero), Age Group (4-year-olds, 5-year-olds, adults), and their interactions; V1 trials with stronger- and weaker-association V1s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Action–Result Association (Stronger vs. Weaker), Result Realization, Age Group, and their interactions. Random effects are intercepts for participants, items, and pairs; a by-participant slope for Result Realization; by-item slopes for Result Realization and Age Group; and a by-pair slope for Action–Result Association, which allows the difference between the two V1s of a pair to vary across pairs. The focal estimates are (a) the difference in acceptance between stronger- and weaker-association V1s in zero-result events in each age group (hereafter, the association effect); (b) the Action–Result Association × Result Realization interaction, which assesses whether the association effect is larger</w:t>
      </w:r>
      <w:r>
        <w:t xml:space="preserve"> in zero-result than in full-result events; and (c) the Action–Result Association × Age Group interaction in zero-result events, which assesses whether the association effect differs between children and adults. Because adult acceptance in zero-result events may approach ceiling, this interaction is reported both on the log-odds scale and as differences in predicted acceptance probability.</w:t>
      </w:r>
    </w:p>
    <w:p w14:paraId="2F78B3F5" w14:textId="77777777" w:rsidR="009D4CF3" w:rsidRDefault="00000000">
      <w:pPr>
        <w:pStyle w:val="Heading3"/>
      </w:pPr>
      <w:r>
        <w:t>Sensitivity Analyses</w:t>
      </w:r>
    </w:p>
    <w:p w14:paraId="449C9658" w14:textId="77777777" w:rsidR="009D4CF3" w:rsidRDefault="00000000">
      <w:r>
        <w:t>Three analyses assess whether the conclusions depend on the materials: (a) refitting both models with all 10 pairs, with the actions of Pairs 7 and 8 classified as stronger- or weaker-association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the association effect is carried by most pairs or by a few.</w:t>
      </w:r>
    </w:p>
    <w:p w14:paraId="46408DBA" w14:textId="77777777" w:rsidR="009D4CF3" w:rsidRDefault="00000000">
      <w:pPr>
        <w:pStyle w:val="Heading2"/>
      </w:pPr>
      <w:r>
        <w:t>Results</w:t>
      </w:r>
    </w:p>
    <w:p w14:paraId="3589F7A8" w14:textId="77777777" w:rsidR="009D4CF3" w:rsidRDefault="00000000">
      <w:r>
        <w:rPr/>
        <w:t xml:space="preserve">Accuracy on filler trials was 100% for adults, 97% for 4-year-olds, and 95% for 5-year-olds, and no participant was excluded. The data comprise 1,040 critical responses, of which 832 belong to the eight retained pairs (416 RVC and 416 V1 trials). All models converged (R̂ ≤ 1.005; at most one divergent transition per model). Below, raw percentages are reported together with model-predicted acceptance (posterior medians with 95% credible intervals [CrIs], population-level predictions). Because the model predictions set item and participant effects to zero, they can differ from the raw percentages when acceptance varies strongly across items.</w:t>
      </w:r>
    </w:p>
    <w:p w14:paraId="3589F7A8" w14:textId="77777777" w:rsidR="009D4CF3" w:rsidRDefault="00000000">
      <w:pPr>
        <w:pStyle w:val="Heading3"/>
      </w:pPr>
      <w:r>
        <w:rPr/>
        <w:t xml:space="preserve">RVC and V1 Descriptions</w:t>
      </w:r>
    </w:p>
    <w:p w14:paraId="3589F7A8" w14:textId="77777777" w:rsidR="009D4CF3" w:rsidRDefault="00000000">
      <w:pPr/>
      <w:r>
        <w:rPr/>
        <w:t xml:space="preserve">Figure 2 shows acceptance by form, result realization, and age group. In full-result events, both forms were accepted at high rates in all groups (RVC descriptions: 92%–94%; V1 descriptions: 97%–100%). In zero-result events, RVC descriptions were rarely accepted (4-year-olds: 19%; 5-year-olds: 11%; adults: 1%), whereas V1 descriptions were accepted more often (55%, 58%, and 83%, respectively).</w:t>
      </w:r>
    </w:p>
    <w:p w14:paraId="3589F7A8" w14:textId="77777777" w:rsidR="009D4CF3" w:rsidRDefault="00000000">
      <w:pPr>
        <w:pStyle w:val="TableNumber"/>
      </w:pPr>
      <w:r>
        <w:rPr/>
        <w:t xml:space="preserve">Figure 2</w:t>
      </w:r>
    </w:p>
    <w:p w14:paraId="3589F7A8" w14:textId="77777777" w:rsidR="009D4CF3" w:rsidRDefault="00000000">
      <w:pPr>
        <w:pStyle w:val="TableTitle"/>
      </w:pPr>
      <w:r>
        <w:rPr>
          <w:i/>
        </w:rPr>
        <w:t xml:space="preserve">Acceptance of RVC and V1 Descriptions by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6752492"/>
            <wp:docPr id="1" name="Picture 1"/>
            <wp:cNvGraphicFramePr>
              <a:graphicFrameLocks noChangeAspect="1"/>
            </wp:cNvGraphicFramePr>
            <a:graphic>
              <a:graphicData uri="http://schemas.openxmlformats.org/drawingml/2006/picture">
                <pic:pic>
                  <pic:nvPicPr>
                    <pic:cNvPr id="0" name="fig2_comprehension.png"/>
                    <pic:cNvPicPr/>
                  </pic:nvPicPr>
                  <pic:blipFill>
                    <a:blip r:embed="rId11"/>
                    <a:stretch>
                      <a:fillRect/>
                    </a:stretch>
                  </pic:blipFill>
                  <pic:spPr>
                    <a:xfrm>
                      <a:off x="0" y="0"/>
                      <a:ext cx="5486400" cy="675249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Small points show proportions for individual participants, and diamonds show group means.</w:t>
      </w:r>
    </w:p>
    <w:p w14:paraId="3589F7A8" w14:textId="77777777" w:rsidR="009D4CF3" w:rsidRDefault="00000000">
      <w:pPr/>
      <w:r>
        <w:rPr/>
        <w:t xml:space="preserve">In the model, the full–zero difference in predicted acceptance was large for RVC descriptions in all groups (4-year-olds: 0.89, 95% CrI [0.69, 0.97]; 5-year-olds: 0.94 [0.82, 0.99]; adults: 0.98 [0.90, 1.00]) and smaller for V1 descriptions (0.41 [0.12, 0.77], 0.33 [0.08, 0.69], and 0.04 [0.00, 0.19], respectively). On the probability scale, the difference between these two differences was positive in each group (4-year-olds: 0.46 [0.12, 0.75]; 5-year-olds: 0.60 [0.24, 0.85]; adults: 0.93 [0.77, 0.98]). On the log-odds scale, the Form × Result Realization interaction was probably positive for 5-year-olds (2.70 [−0.36, 5.74], posterior probability of a positive effect, </w:t>
      </w:r>
      <w:r>
        <w:rPr>
          <w:i/>
        </w:rPr>
        <w:t xml:space="preserve">p</w:t>
      </w:r>
      <w:r>
        <w:rPr/>
        <w:t xml:space="preserve">(&gt; 0) = .96) and adults (6.31 [−0.28, 11.83], </w:t>
      </w:r>
      <w:r>
        <w:rPr>
          <w:i/>
        </w:rPr>
        <w:t xml:space="preserve">p</w:t>
      </w:r>
      <w:r>
        <w:rPr/>
        <w:t xml:space="preserve">(&gt; 0) = .97), although both intervals include zero, and uncertain for 4-year-olds (0.53 [−2.90, 3.42], </w:t>
      </w:r>
      <w:r>
        <w:rPr>
          <w:i/>
        </w:rPr>
        <w:t xml:space="preserve">p</w:t>
      </w:r>
      <w:r>
        <w:rPr/>
        <w:t xml:space="preserve">(&gt; 0) = .63). The interaction was smaller in children than in adults (difference in log-odds: −4.69 [−10.65, 2.15], </w:t>
      </w:r>
      <w:r>
        <w:rPr>
          <w:i/>
        </w:rPr>
        <w:t xml:space="preserve">p</w:t>
      </w:r>
      <w:r>
        <w:rPr/>
        <w:t xml:space="preserve">(&lt; 0) = .92), and somewhat larger in 5- than in 4-year-olds (2.20 [−1.73, 6.39], </w:t>
      </w:r>
      <w:r>
        <w:rPr>
          <w:i/>
        </w:rPr>
        <w:t xml:space="preserve">p</w:t>
      </w:r>
      <w:r>
        <w:rPr/>
        <w:t xml:space="preserve">(&gt; 0) = .86); both comparisons have wide intervals.</w:t>
      </w:r>
    </w:p>
    <w:p w14:paraId="3589F7A8" w14:textId="77777777" w:rsidR="009D4CF3" w:rsidRDefault="00000000">
      <w:pPr/>
      <w:r>
        <w:rPr/>
        <w:t xml:space="preserve">The age differences were located mainly in zero-result events. Children accepted V1 descriptions of zero-result events less often than adults (difference in predicted acceptance: 0.33 [0.11, 0.62], </w:t>
      </w:r>
      <w:r>
        <w:rPr>
          <w:i/>
        </w:rPr>
        <w:t xml:space="preserve">p</w:t>
      </w:r>
      <w:r>
        <w:rPr/>
        <w:t xml:space="preserve">(&gt; 0) &gt; .99) and accepted RVC descriptions of these events slightly more often (0.05 [0.01, 0.17], </w:t>
      </w:r>
      <w:r>
        <w:rPr>
          <w:i/>
        </w:rPr>
        <w:t xml:space="preserve">p</w:t>
      </w:r>
      <w:r>
        <w:rPr/>
        <w:t xml:space="preserve">(&gt; 0) &gt; .99). Thus, by 4 years of age, children rejected RVC descriptions of zero-result events in most cases and accepted V1 descriptions of these events more often than RVC descriptions, but less often than adults did.</w:t>
      </w:r>
    </w:p>
    <w:p w14:paraId="3589F7A8" w14:textId="77777777" w:rsidR="009D4CF3" w:rsidRDefault="00000000">
      <w:pPr>
        <w:pStyle w:val="Heading3"/>
      </w:pPr>
      <w:r>
        <w:rPr/>
        <w:t xml:space="preserve">Stronger- and Weaker-Association V1s</w:t>
      </w:r>
    </w:p>
    <w:p w14:paraId="3589F7A8" w14:textId="77777777" w:rsidR="009D4CF3" w:rsidRDefault="00000000">
      <w:pPr/>
      <w:r>
        <w:rPr/>
        <w:t xml:space="preserve">Figure 3 shows acceptance of V1 descriptions by association, result realization, and age group. In full-result events, V1 descriptions were accepted almost always (94%–100%). In zero-result events, descriptions with stronger-association V1s were accepted less often than descriptions with weaker-association V1s in every group (4-year-olds: 31% vs. 78%; 5-year-olds: 41% vs. 75%; adults: 68% vs. 98%).</w:t>
      </w:r>
    </w:p>
    <w:p w14:paraId="3589F7A8" w14:textId="77777777" w:rsidR="009D4CF3" w:rsidRDefault="00000000">
      <w:pPr>
        <w:pStyle w:val="TableNumber"/>
      </w:pPr>
      <w:r>
        <w:rPr/>
        <w:t xml:space="preserve">Figure 3</w:t>
      </w:r>
    </w:p>
    <w:p w14:paraId="3589F7A8" w14:textId="77777777" w:rsidR="009D4CF3" w:rsidRDefault="00000000">
      <w:pPr>
        <w:pStyle w:val="TableTitle"/>
      </w:pPr>
      <w:r>
        <w:rPr>
          <w:i/>
        </w:rPr>
        <w:t xml:space="preserve">Acceptance of V1 Descriptions by Action–Result Association,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6752492"/>
            <wp:docPr id="2" name="Picture 2"/>
            <wp:cNvGraphicFramePr>
              <a:graphicFrameLocks noChangeAspect="1"/>
            </wp:cNvGraphicFramePr>
            <a:graphic>
              <a:graphicData uri="http://schemas.openxmlformats.org/drawingml/2006/picture">
                <pic:pic>
                  <pic:nvPicPr>
                    <pic:cNvPr id="0" name="fig3_association.png"/>
                    <pic:cNvPicPr/>
                  </pic:nvPicPr>
                  <pic:blipFill>
                    <a:blip r:embed="rId12"/>
                    <a:stretch>
                      <a:fillRect/>
                    </a:stretch>
                  </pic:blipFill>
                  <pic:spPr>
                    <a:xfrm>
                      <a:off x="0" y="0"/>
                      <a:ext cx="5486400" cy="675249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Small points show proportions for individual participants, and diamonds show group means.</w:t>
      </w:r>
    </w:p>
    <w:p w14:paraId="3589F7A8" w14:textId="77777777" w:rsidR="009D4CF3" w:rsidRDefault="00000000">
      <w:pPr/>
      <w:r>
        <w:rPr/>
        <w:t xml:space="preserve">In the model, the association effect in zero-result events was positive in all three groups, with intervals excluding zero for 4-year-olds and adults and only marginally including it for 5-year-olds (difference in log-odds, weaker minus stronger: 4-year-olds: 3.94 [0.46, 7.95], </w:t>
      </w:r>
      <w:r>
        <w:rPr>
          <w:i/>
        </w:rPr>
        <w:t xml:space="preserve">p</w:t>
      </w:r>
      <w:r>
        <w:rPr/>
        <w:t xml:space="preserve">(&gt; 0) = .99; 5-year-olds: 2.87 [−0.49, 6.48], </w:t>
      </w:r>
      <w:r>
        <w:rPr>
          <w:i/>
        </w:rPr>
        <w:t xml:space="preserve">p</w:t>
      </w:r>
      <w:r>
        <w:rPr/>
        <w:t xml:space="preserve">(&gt; 0) = .96; adults: 4.55 [0.69, 9.21], </w:t>
      </w:r>
      <w:r>
        <w:rPr>
          <w:i/>
        </w:rPr>
        <w:t xml:space="preserve">p</w:t>
      </w:r>
      <w:r>
        <w:rPr/>
        <w:t xml:space="preserve">(&gt; 0) = .99; averaged over groups: 3.80 [1.12, 6.84], </w:t>
      </w:r>
      <w:r>
        <w:rPr>
          <w:i/>
        </w:rPr>
        <w:t xml:space="preserve">p</w:t>
      </w:r>
      <w:r>
        <w:rPr/>
        <w:t xml:space="preserve">(&gt; 0) &gt; .99). In full-result events, the association effect was negligible (differences in predicted acceptance ≤ 0.01). The Action–Result Association × Result Realization interaction was positive in all groups but uncertain because acceptance was at ceiling in full-result events (log-odds: 1.49 [−5.39, 8.04], −0.13 [−6.75, 5.75], and 4.46 [−3.54, 12.64]).</w:t>
      </w:r>
    </w:p>
    <w:p w14:paraId="3589F7A8" w14:textId="77777777" w:rsidR="009D4CF3" w:rsidRDefault="00000000">
      <w:pPr/>
      <w:r>
        <w:rPr/>
        <w:t xml:space="preserve">The association effect did not differ credibly between children and adults. On the log-odds scale, the effect was, if anything, smaller in children (difference: −1.13 [−5.57, 2.91], </w:t>
      </w:r>
      <w:r>
        <w:rPr>
          <w:i/>
        </w:rPr>
        <w:t xml:space="preserve">p</w:t>
      </w:r>
      <w:r>
        <w:rPr/>
        <w:t xml:space="preserve">(&gt; 0) = .29); on the probability scale, it was larger in children (0.31 [−0.30, 0.73], </w:t>
      </w:r>
      <w:r>
        <w:rPr>
          <w:i/>
        </w:rPr>
        <w:t xml:space="preserve">p</w:t>
      </w:r>
      <w:r>
        <w:rPr/>
        <w:t xml:space="preserve">(&gt; 0) = .86), because adults’ acceptance of weaker-association V1s was close to ceiling. Both intervals include zero and sizable effects in either direction, so the comparison is inconclusive. The effect also did not differ between 4- and 5-year-olds (−1.05 [−5.23, 2.80]). Children accepted V1 descriptions of zero-result events less often than adults for both stronger-association V1s (difference in predicted acceptance: 0.47 [0.02, 0.82], </w:t>
      </w:r>
      <w:r>
        <w:rPr>
          <w:i/>
        </w:rPr>
        <w:t xml:space="preserve">p</w:t>
      </w:r>
      <w:r>
        <w:rPr/>
        <w:t xml:space="preserve">(&gt; 0) = .98) and weaker-association V1s (0.12 [0.01, 0.55], </w:t>
      </w:r>
      <w:r>
        <w:rPr>
          <w:i/>
        </w:rPr>
        <w:t xml:space="preserve">p</w:t>
      </w:r>
      <w:r>
        <w:rPr/>
        <w:t xml:space="preserve">(&gt; 0) = .99). Children and adults were thus both sensitive to action–result association, and children’s stricter judgments held regardless of association.</w:t>
      </w:r>
    </w:p>
    <w:p w14:paraId="3589F7A8" w14:textId="77777777" w:rsidR="009D4CF3" w:rsidRDefault="00000000">
      <w:pPr>
        <w:pStyle w:val="Heading3"/>
      </w:pPr>
      <w:r>
        <w:rPr/>
        <w:t xml:space="preserve">Sensitivity Analyses and Item-Level Acceptance</w:t>
      </w:r>
    </w:p>
    <w:p w14:paraId="3589F7A8" w14:textId="77777777" w:rsidR="009D4CF3" w:rsidRDefault="00000000">
      <w:pPr/>
      <w:r>
        <w:rPr/>
        <w:t xml:space="preserve">With all 10 pairs, the conclusions were unchanged, except that the Form × Result Realization interaction in 5-year-olds was now clearly positive. The Form × Result Realization interaction on the log-odds scale was 1.05 [−1.47, 3.49] for 4-year-olds (</w:t>
      </w:r>
      <w:r>
        <w:rPr>
          <w:i/>
        </w:rPr>
        <w:t xml:space="preserve">p</w:t>
      </w:r>
      <w:r>
        <w:rPr/>
        <w:t xml:space="preserve">(&gt; 0) = .79), 4.01 [1.62, 6.47] for 5-year-olds (</w:t>
      </w:r>
      <w:r>
        <w:rPr>
          <w:i/>
        </w:rPr>
        <w:t xml:space="preserve">p</w:t>
      </w:r>
      <w:r>
        <w:rPr/>
        <w:t xml:space="preserve">(&gt; 0) &gt; .99), and 4.78 [−1.79, 9.36] for adults (</w:t>
      </w:r>
      <w:r>
        <w:rPr>
          <w:i/>
        </w:rPr>
        <w:t xml:space="preserve">p</w:t>
      </w:r>
      <w:r>
        <w:rPr/>
        <w:t xml:space="preserve">(&gt; 0) = .93). The association effect in zero-result events was 4.05 [1.27, 7.34] for 4-year-olds (</w:t>
      </w:r>
      <w:r>
        <w:rPr>
          <w:i/>
        </w:rPr>
        <w:t xml:space="preserve">p</w:t>
      </w:r>
      <w:r>
        <w:rPr/>
        <w:t xml:space="preserve">(&gt; 0) &gt; .99), 2.71 [−0.08, 5.77] for 5-year-olds (</w:t>
      </w:r>
      <w:r>
        <w:rPr>
          <w:i/>
        </w:rPr>
        <w:t xml:space="preserve">p</w:t>
      </w:r>
      <w:r>
        <w:rPr/>
        <w:t xml:space="preserve">(&gt; 0) = .97), and 4.83 [1.67, 8.67] for adults (</w:t>
      </w:r>
      <w:r>
        <w:rPr>
          <w:i/>
        </w:rPr>
        <w:t xml:space="preserve">p</w:t>
      </w:r>
      <w:r>
        <w:rPr/>
        <w:t xml:space="preserve">(&gt; 0) &gt; .99), and it again did not differ credibly between children and adults (log-odds: −1.41 [−5.26, 1.90]; probability: 0.27 [−0.16, 0.61]).</w:t>
      </w:r>
    </w:p>
    <w:p w14:paraId="3589F7A8" w14:textId="77777777" w:rsidR="009D4CF3" w:rsidRDefault="00000000">
      <w:pPr/>
      <w:r>
        <w:rPr/>
        <w:t xml:space="preserve">When each of the eight retained pairs was left out in turn, the association effect in zero-result events, averaged over age groups, ranged from 3.23 to 4.25 on the log-odds scale, and its 95% CrI excluded zero in every refit (</w:t>
      </w:r>
      <w:r>
        <w:rPr>
          <w:i/>
        </w:rPr>
        <w:t xml:space="preserve">p</w:t>
      </w:r>
      <w:r>
        <w:rPr/>
        <w:t xml:space="preserve">(&gt; 0) ≥ .99). The Action–Result Association × Age Group comparison remained inconclusive in every refit (children minus adults, log-odds: −2.58 to −0.55; probability: 0.19 to 0.36; all intervals including zero). Frequentist models with the full interaction structure produced unstable estimates because of near-ceiling acceptance in full-result events, as anticipated in the Analysis Plan. A frequentist model restricted to V1 descriptions of zero-result events, with random intercepts for participants and items, showed effects of action–result association, χ²(1) = 6.21, </w:t>
      </w:r>
      <w:r>
        <w:rPr>
          <w:i/>
        </w:rPr>
        <w:t xml:space="preserve">p</w:t>
      </w:r>
      <w:r>
        <w:rPr/>
        <w:t xml:space="preserve"> = .013, and age group, χ²(2) = 9.76, </w:t>
      </w:r>
      <w:r>
        <w:rPr>
          <w:i/>
        </w:rPr>
        <w:t xml:space="preserve">p</w:t>
      </w:r>
      <w:r>
        <w:rPr/>
        <w:t xml:space="preserve"> = .008, but no interaction, χ²(2) = 0.68, </w:t>
      </w:r>
      <w:r>
        <w:rPr>
          <w:i/>
        </w:rPr>
        <w:t xml:space="preserve">p</w:t>
      </w:r>
      <w:r>
        <w:rPr/>
        <w:t xml:space="preserve"> = .71. Adding the item-level verb–video correspondence values (Table A1, proportion of all descriptions containing the intended V1, centered) and their interaction with Result Realization as covariates did not change the conclusions. The covariate effects were small and uncertain (Model 1: 0.20 [−1.67, 2.08]; Model 2: −0.13 [−2.42, 2.21]). The Form × Result Realization interaction was 0.49 [−2.93, 3.45] for 4-year-olds, 2.70 [−0.45, 5.73] for 5-year-olds, and 6.38 [−0.21, 11.90] for adults, and the association effect in zero-result events, averaged over age groups, was 3.86 [1.13, 6.88], </w:t>
      </w:r>
      <w:r>
        <w:rPr>
          <w:i/>
        </w:rPr>
        <w:t xml:space="preserve">p</w:t>
      </w:r>
      <w:r>
        <w:rPr/>
        <w:t xml:space="preserve">(&gt; 0) &gt; .99, with no credible difference between children and adults (log-odds: −1.16 [−5.58, 2.96]; probability: 0.32 [−0.29, 0.72]).</w:t>
      </w:r>
    </w:p>
    <w:p w14:paraId="3589F7A8" w14:textId="77777777" w:rsidR="009D4CF3" w:rsidRDefault="00000000">
      <w:pPr/>
      <w:r>
        <w:rPr/>
        <w:t xml:space="preserve">Figure 4 shows acceptance of V1 descriptions in zero-result events for each pair. In seven of the eight pairs, the stronger-association V1 was accepted less often than its weaker-association partner by children, and in six of the eight pairs by adults; the remaining adult pairs were at ceiling for both V1s (Pair 2) or for both groups (Pair 9). The association effect was thus carried by most pairs rather than by one or two. Pair 9 (</w:t>
      </w:r>
      <w:r>
        <w:rPr>
          <w:i/>
        </w:rPr>
        <w:t xml:space="preserve">cā</w:t>
      </w:r>
      <w:r>
        <w:rPr/>
        <w:t xml:space="preserve"> “wipe” vs. </w:t>
      </w:r>
      <w:r>
        <w:rPr>
          <w:i/>
        </w:rPr>
        <w:t xml:space="preserve">chōng</w:t>
      </w:r>
      <w:r>
        <w:rPr/>
        <w:t xml:space="preserve"> “rinse” a mirror) behaved differently from the other pairs: Both V1s were accepted in all zero-result trials, and children also accepted the RVC descriptions of the zero-result videos in 50% (</w:t>
      </w:r>
      <w:r>
        <w:rPr>
          <w:i/>
        </w:rPr>
        <w:t xml:space="preserve">cā-gānjìng</w:t>
      </w:r>
      <w:r>
        <w:rPr/>
        <w:t xml:space="preserve">) and 75% (</w:t>
      </w:r>
      <w:r>
        <w:rPr>
          <w:i/>
        </w:rPr>
        <w:t xml:space="preserve">chōng-gānjìng</w:t>
      </w:r>
      <w:r>
        <w:rPr/>
        <w:t xml:space="preserve">) of trials, as did one of the five adults who judged </w:t>
      </w:r>
      <w:r>
        <w:rPr>
          <w:i/>
        </w:rPr>
        <w:t xml:space="preserve">cā-gānjìng</w:t>
      </w:r>
      <w:r>
        <w:rPr/>
        <w:t xml:space="preserve">. In the videos of this pair, the stain on the mirror was a small red spot in one corner and was not very conspicuous, so that whether the mirror had become clean was difficult to see; one child explained a rejection by saying that only one side of the mirror had been wiped. Acceptance of the RVC descriptions in zero-result events was otherwise low for every pair (children: 0%–38%; adults: 0%).</w:t>
      </w:r>
    </w:p>
    <w:p w14:paraId="3589F7A8" w14:textId="77777777" w:rsidR="009D4CF3" w:rsidRDefault="00000000">
      <w:pPr>
        <w:pStyle w:val="TableNumber"/>
      </w:pPr>
      <w:r>
        <w:rPr/>
        <w:t xml:space="preserve">Figure 4</w:t>
      </w:r>
    </w:p>
    <w:p w14:paraId="3589F7A8" w14:textId="77777777" w:rsidR="009D4CF3" w:rsidRDefault="00000000">
      <w:pPr>
        <w:pStyle w:val="TableTitle"/>
      </w:pPr>
      <w:r>
        <w:rPr>
          <w:i/>
        </w:rPr>
        <w:t xml:space="preserve">Acceptance of V1 Descriptions in Zero-Result Events for Each Pair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fig4_items.png"/>
                    <pic:cNvPicPr/>
                  </pic:nvPicPr>
                  <pic:blipFill>
                    <a:blip r:embed="rId13"/>
                    <a:stretch>
                      <a:fillRect/>
                    </a:stretch>
                  </pic:blipFill>
                  <pic:spPr>
                    <a:xfrm>
                      <a:off x="0" y="0"/>
                      <a:ext cx="5486400" cy="3376246"/>
                    </a:xfrm>
                    <a:prstGeom prst="rect"/>
                  </pic:spPr>
                </pic:pic>
              </a:graphicData>
            </a:graphic>
          </wp:inline>
        </w:drawing>
      </w:r>
    </w:p>
    <w:p w14:paraId="3589F7A8" w14:textId="77777777" w:rsidR="009D4CF3" w:rsidRDefault="00000000">
      <w:pPr>
        <w:pStyle w:val="TableNote"/>
      </w:pPr>
      <w:r>
        <w:rPr>
          <w:i/>
        </w:rPr>
        <w:t xml:space="preserve">Note.</w:t>
      </w:r>
      <w:r>
        <w:rPr/>
        <w:t xml:space="preserve"> Diamonds show proportions for each V1 description. Children are pooled across the two age groups (eight children per V1 description); five adults per V1 description. Pair 9 is discussed in the text.</w:t>
      </w:r>
    </w:p>
    <w:p w14:paraId="47B35AA9" w14:textId="77777777" w:rsidR="009D4CF3" w:rsidRDefault="00000000">
      <w:pPr>
        <w:pStyle w:val="Heading1"/>
      </w:pPr>
      <w:r>
        <w:lastRenderedPageBreak/>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w:t>
      </w:r>
      <w:r>
        <w:rPr/>
        <w:t xml:space="preserve">(14 female; 4;0–4;11, </w:t>
      </w:r>
      <w:r>
        <w:rPr>
          <w:i/>
        </w:rPr>
        <w:t xml:space="preserve">M</w:t>
      </w:r>
      <w:r>
        <w:rPr/>
        <w:t xml:space="preserve"> = 4;4)</w:t>
      </w:r>
      <w:r>
        <w:rPr>
          <w:highlight w:val="yellow"/>
        </w:rPr>
      </w:r>
      <w:r>
        <w:t xml:space="preserve">, 32 five-year-olds </w:t>
      </w:r>
      <w:r>
        <w:rPr/>
        <w:t xml:space="preserve">(18 female; 5;0–5;11, </w:t>
      </w:r>
      <w:r>
        <w:rPr>
          <w:i/>
        </w:rPr>
        <w:t xml:space="preserve">M</w:t>
      </w:r>
      <w:r>
        <w:rPr/>
        <w:t xml:space="preserve"> = 5;5)</w:t>
      </w:r>
      <w:r>
        <w:rPr>
          <w:highlight w:val="yellow"/>
        </w:rPr>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either the 10 stronger-association or the 10 weaker-association actions,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44CFA0F9" w:rsidR="009D4CF3" w:rsidRDefault="00000000">
      <w:r>
        <w:t xml:space="preserve">All 10 pairs are included in the analyses of Experiment 2, because these analyses compare result conditions and do not require the actions to be classified as stronger- or weaker-association. Analyses restricted to the eight retained pairs are reported as a sensitivity check. </w:t>
      </w:r>
    </w:p>
    <w:p w14:paraId="771AA536" w14:textId="77777777" w:rsidR="009D4CF3" w:rsidRDefault="00000000">
      <w:pPr>
        <w:pStyle w:val="Heading3"/>
      </w:pPr>
      <w:r>
        <w:t>Coding</w:t>
      </w:r>
    </w:p>
    <w:p w14:paraId="54410E70" w14:textId="53DC4854" w:rsidR="009D4CF3" w:rsidRDefault="00000000">
      <w:r>
        <w:t>The coding unit is the complete response to a video, including information expressed across clauses. Responses were recoded from the transcripts for the present analyses.</w:t>
      </w:r>
      <w:r w:rsidR="00055864">
        <w:rPr>
          <w:rFonts w:eastAsiaTheme="minorEastAsia" w:hint="eastAsia"/>
        </w:rPr>
        <w:t xml:space="preserve"> </w:t>
      </w:r>
      <w:r/>
      <w:r>
        <w:rPr/>
        <w:t xml:space="preserve">Trials without a recorded response are excluded and reported. In the present draft, responses were coded with item-specific lists of V1s, V2s, and equivalent result expressions, together with rules for negation and attempt verbs (e.g., </w:t>
      </w:r>
      <w:r>
        <w:rPr>
          <w:i/>
        </w:rPr>
        <w:t xml:space="preserve">shìtú</w:t>
      </w:r>
      <w:r>
        <w:rPr/>
        <w:t xml:space="preserve"> “try”). </w:t>
      </w:r>
      <w:r>
        <w:rPr>
          <w:highlight w:val="yellow"/>
        </w:rPr>
        <w:t xml:space="preserve">[规则编码初稿：需人工逐条核对，并由第二编码者独立编码 20% 的回答后报告一致性]</w:t>
      </w:r>
    </w:p>
    <w:p w14:paraId="5ED3C869" w14:textId="77777777" w:rsidR="009D4CF3" w:rsidRDefault="00000000">
      <w:r>
        <w:rPr>
          <w:b/>
        </w:rPr>
        <w:lastRenderedPageBreak/>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4AFE84E9"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w:t>
      </w:r>
      <w:r>
        <w:rPr>
          <w:highlight w:val="yellow"/>
        </w:rPr>
      </w:r>
      <w:r w:rsidR="00055864">
        <w:rPr>
          <w:rFonts w:eastAsiaTheme="minorEastAsia" w:hint="eastAsia"/>
          <w:highlight w:val="yellow"/>
        </w:rPr>
      </w:r>
      <w:r w:rsidR="00055864">
        <w:rPr>
          <w:rFonts w:ascii="SimSun" w:eastAsia="SimSun" w:hAnsi="SimSun" w:cs="SimSun" w:hint="eastAsia"/>
          <w:highlight w:val="yellow"/>
        </w:rPr>
      </w:r>
      <w:proofErr w:type="spellStart"/>
      <w:r>
        <w:rPr>
          <w:highlight w:val="yellow"/>
        </w:rPr>
      </w:r>
      <w:proofErr w:type="spellEnd"/>
      <w:r>
        <w:rPr>
          <w:highlight w:val="yellow"/>
        </w:rPr>
      </w:r>
      <w:proofErr w:type="spellStart"/>
      <w:r>
        <w:rPr>
          <w:highlight w:val="yellow"/>
        </w:rPr>
      </w:r>
      <w:proofErr w:type="spellEnd"/>
      <w:r>
        <w:rPr>
          <w:highlight w:val="yellow"/>
        </w:rPr>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w:t>
      </w:r>
      <w:r>
        <w:t xml:space="preserve">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w:t>
      </w:r>
      <w:r>
        <w:rPr/>
        <w:t xml:space="preserve">descriptively, because several cells contain few responses.</w:t>
      </w:r>
      <w:r>
        <w:rPr>
          <w:highlight w:val="yellow"/>
        </w:rPr>
      </w:r>
      <w:r>
        <w:t xml:space="preserve"> </w:t>
      </w:r>
      <w:r>
        <w:rPr/>
        <w:t xml:space="preserve">Responses that affirm the target result in zero-result events are counted by age group. The two models are also refitted with the eight retained pairs.</w:t>
      </w:r>
      <w:r>
        <w:rPr/>
        <w:t xml:space="preserve"> The adult ratings are not used in these analyses.</w:t>
      </w:r>
    </w:p>
    <w:p w14:paraId="3898C00B" w14:textId="77777777" w:rsidR="009D4CF3" w:rsidRDefault="00000000">
      <w:pPr>
        <w:pStyle w:val="Heading2"/>
      </w:pPr>
      <w:r>
        <w:t>Results</w:t>
      </w:r>
    </w:p>
    <w:p w14:paraId="570C2E60" w14:textId="326EE807" w:rsidR="009D4CF3" w:rsidRDefault="00000000">
      <w:proofErr w:type="spellStart"/>
      <w:proofErr w:type="spellEnd"/>
      <w:r>
        <w:rPr/>
        <w:t xml:space="preserve">Ten child trials (seven from 4-year-olds and three from 5-year-olds) had no recorded response and are excluded, leaving 1,030 responses (4-year-olds: 313; 5-year-olds: 317; adults: 400). Both models converged (R̂ ≤ 1.003, no divergent transitions). Figure 5 shows the proportions of responses that contained an RVC and that mentioned the target result, and Table 2 shows the distribution of response categories.</w:t>
      </w:r>
    </w:p>
    <w:p w14:paraId="570C2E60" w14:textId="326EE807" w:rsidR="009D4CF3" w:rsidRDefault="00000000">
      <w:pPr>
        <w:pStyle w:val="TableNumber"/>
      </w:pPr>
      <w:r>
        <w:rPr/>
        <w:t xml:space="preserve">Figure 5</w:t>
      </w:r>
    </w:p>
    <w:p w14:paraId="570C2E60" w14:textId="326EE807" w:rsidR="009D4CF3" w:rsidRDefault="00000000">
      <w:pPr>
        <w:pStyle w:val="TableTitle"/>
      </w:pPr>
      <w:r>
        <w:rPr>
          <w:i/>
        </w:rPr>
        <w:t xml:space="preserve">Proportion of Responses Containing an RVC and of Responses Mentioning the Target Result (Experiment 2)</w:t>
      </w:r>
    </w:p>
    <w:p w14:paraId="570C2E60" w14:textId="326EE807" w:rsidR="009D4CF3" w:rsidRDefault="00000000">
      <w:pPr>
        <w:keepNext/>
        <w:ind w:firstLine="0"/>
        <w:jc w:val="center"/>
      </w:pPr>
      <w:r>
        <w:drawing>
          <wp:inline xmlns:a="http://schemas.openxmlformats.org/drawingml/2006/main" xmlns:pic="http://schemas.openxmlformats.org/drawingml/2006/picture">
            <wp:extent cx="5486400" cy="6752492"/>
            <wp:docPr id="5" name="Picture 5"/>
            <wp:cNvGraphicFramePr>
              <a:graphicFrameLocks noChangeAspect="1"/>
            </wp:cNvGraphicFramePr>
            <a:graphic>
              <a:graphicData uri="http://schemas.openxmlformats.org/drawingml/2006/picture">
                <pic:pic>
                  <pic:nvPicPr>
                    <pic:cNvPr id="0" name="fig5_production.png"/>
                    <pic:cNvPicPr/>
                  </pic:nvPicPr>
                  <pic:blipFill>
                    <a:blip r:embed="rId15"/>
                    <a:stretch>
                      <a:fillRect/>
                    </a:stretch>
                  </pic:blipFill>
                  <pic:spPr>
                    <a:xfrm>
                      <a:off x="0" y="0"/>
                      <a:ext cx="5486400" cy="6752492"/>
                    </a:xfrm>
                    <a:prstGeom prst="rect"/>
                  </pic:spPr>
                </pic:pic>
              </a:graphicData>
            </a:graphic>
          </wp:inline>
        </w:drawing>
      </w:r>
    </w:p>
    <w:p w14:paraId="570C2E60" w14:textId="326EE807" w:rsidR="009D4CF3" w:rsidRDefault="00000000">
      <w:pPr>
        <w:pStyle w:val="TableNote"/>
      </w:pPr>
      <w:r>
        <w:rPr>
          <w:i/>
        </w:rPr>
        <w:t xml:space="preserve">Note.</w:t>
      </w:r>
      <w:r>
        <w:rPr/>
        <w:t xml:space="preserve"> All 10 pairs. Small points show proportions for individual participants, and diamonds show group means.</w:t>
      </w:r>
    </w:p>
    <w:p w14:paraId="570C2E60" w14:textId="326EE807" w:rsidR="009D4CF3" w:rsidRDefault="00000000">
      <w:pPr>
        <w:pStyle w:val="Heading3"/>
      </w:pPr>
      <w:r>
        <w:rPr/>
        <w:t xml:space="preserve">RVC Use</w:t>
      </w:r>
    </w:p>
    <w:p w14:paraId="570C2E60" w14:textId="326EE807" w:rsidR="009D4CF3" w:rsidRDefault="00000000">
      <w:pPr/>
      <w:r>
        <w:rPr/>
        <w:t xml:space="preserve">Responses contained an RVC more often for full-result than for zero-result events in all groups (4-year-olds: 15% vs. 9%; 5-year-olds: 29% vs. 10%; adults: 56% vs. 29%). In the model, this difference was credible for 5-year-olds (log-odds: 1.92, 95% CrI [0.82, 3.13], </w:t>
      </w:r>
      <w:r>
        <w:rPr>
          <w:i/>
        </w:rPr>
        <w:t xml:space="preserve">p</w:t>
      </w:r>
      <w:r>
        <w:rPr/>
        <w:t xml:space="preserve">(&gt; 0) &gt; .99) and adults (1.87 [0.97, 2.84], </w:t>
      </w:r>
      <w:r>
        <w:rPr>
          <w:i/>
        </w:rPr>
        <w:t xml:space="preserve">p</w:t>
      </w:r>
      <w:r>
        <w:rPr/>
        <w:t xml:space="preserve">(&gt; 0) &gt; .99) but uncertain for 4-year-olds (0.81 [−0.37, 2.01], </w:t>
      </w:r>
      <w:r>
        <w:rPr>
          <w:i/>
        </w:rPr>
        <w:t xml:space="preserve">p</w:t>
      </w:r>
      <w:r>
        <w:rPr/>
        <w:t xml:space="preserve">(&gt; 0) = .92), who produced few RVCs in either condition. On the log-odds scale, the effect of result realization did not differ credibly between children and adults (−0.50 [−1.57, 0.54]). Adults produced RVCs more often than children (difference in predicted proportion, averaged over result conditions: 0.30 [0.15, 0.46]), and 5-year-olds slightly more often than 4-year-olds (0.06 [0.00, 0.17]). RVCs in zero-result events usually appeared in negated or potential forms (e.g., </w:t>
      </w:r>
      <w:r>
        <w:rPr>
          <w:i/>
        </w:rPr>
        <w:t xml:space="preserve">méi zá-kāi</w:t>
      </w:r>
      <w:r>
        <w:rPr/>
        <w:t xml:space="preserve"> “did not smash open”; </w:t>
      </w:r>
      <w:r>
        <w:rPr>
          <w:i/>
        </w:rPr>
        <w:t xml:space="preserve">qiāo bù kāi</w:t>
      </w:r>
      <w:r>
        <w:rPr/>
        <w:t xml:space="preserve"> “knock-cannot-open”) or, in adults, as the object of an attempt verb (e.g., </w:t>
      </w:r>
      <w:r>
        <w:rPr>
          <w:i/>
        </w:rPr>
        <w:t xml:space="preserve">shìtú sī-kāi</w:t>
      </w:r>
      <w:r>
        <w:rPr/>
        <w:t xml:space="preserve"> “tried to tear open”).</w:t>
      </w:r>
    </w:p>
    <w:p w14:paraId="570C2E60" w14:textId="326EE807" w:rsidR="009D4CF3" w:rsidRDefault="00000000">
      <w:pPr>
        <w:pStyle w:val="Heading3"/>
      </w:pPr>
      <w:r>
        <w:rPr/>
        <w:t xml:space="preserve">Mention of the Target Result</w:t>
      </w:r>
    </w:p>
    <w:p w14:paraId="570C2E60" w14:textId="326EE807" w:rsidR="009D4CF3" w:rsidRDefault="00000000">
      <w:pPr/>
      <w:r>
        <w:rPr/>
        <w:t xml:space="preserve">The target result was mentioned more often for full-result than for zero-result events in all groups (4-year-olds: 29% vs. 12%; 5-year-olds: 40% vs. 11%; adults: 67% vs. 28%). The difference was credible in each group (log-odds: 1.43 [0.28, 2.67], </w:t>
      </w:r>
      <w:r>
        <w:rPr>
          <w:i/>
        </w:rPr>
        <w:t xml:space="preserve">p</w:t>
      </w:r>
      <w:r>
        <w:rPr/>
        <w:t xml:space="preserve">(&gt; 0) = .99; 2.32 [1.20, 3.59], </w:t>
      </w:r>
      <w:r>
        <w:rPr>
          <w:i/>
        </w:rPr>
        <w:t xml:space="preserve">p</w:t>
      </w:r>
      <w:r>
        <w:rPr/>
        <w:t xml:space="preserve">(&gt; 0) &gt; .99; and 2.74 [1.65, 3.87], </w:t>
      </w:r>
      <w:r>
        <w:rPr>
          <w:i/>
        </w:rPr>
        <w:t xml:space="preserve">p</w:t>
      </w:r>
      <w:r>
        <w:rPr/>
        <w:t xml:space="preserve">(&gt; 0) &gt; .99, respectively), and it tended to be smaller in children than in adults (−0.84 [−1.75, 0.03]). Adults mentioned the target result more often than children (0.27 [0.15, 0.39]). In zero-result events, adults who mentioned the target result usually denied it (20% of zero-result responses) or presented it as the actor’s goal (7%); children denied it in 8% of zero-result responses. Responses affirming the target result in a zero-result event were rare (4-year-olds: 5 responses, 3%; 5-year-olds: 6, 4%; adults: 2, 1%).</w:t>
      </w:r>
    </w:p>
    <w:p w14:paraId="570C2E60" w14:textId="326EE807" w:rsidR="009D4CF3" w:rsidRDefault="00000000">
      <w:pPr>
        <w:pStyle w:val="Heading3"/>
      </w:pPr>
      <w:r>
        <w:rPr/>
        <w:t xml:space="preserve">Response Categories</w:t>
      </w:r>
    </w:p>
    <w:p w14:paraId="570C2E60" w14:textId="326EE807" w:rsidR="009D4CF3" w:rsidRDefault="00000000">
      <w:pPr/>
      <w:r>
        <w:rPr/>
        <w:t xml:space="preserve">Among responses without an RVC (Table 2), action-only responses predominated in all groups and in both result conditions (67%–90%). In full-result events, children’s descriptions more often named the action alone than adults’ (all responses: 62% and 53% vs. 31%), whereas responses expressing the action and the target result in separate predicates (e.g., </w:t>
      </w:r>
      <w:r>
        <w:rPr>
          <w:i/>
        </w:rPr>
        <w:t xml:space="preserve">huīwǔ-le jǐ xià, làzhú miè le</w:t>
      </w:r>
      <w:r>
        <w:rPr/>
        <w:t xml:space="preserve"> “waved it a few times, and the candle went out”) made up 13%–14% of children’s and 26% of adults’ responses without an RVC. Responses mentioning only the target result were rare (0%–6%). Thus, children did not express the target result in separate predicates or without the action more often than adults; their lower RVC use went together with less frequent mention of the result. In zero-result events, separate-predicate and result-only responses were rare in all groups (≤ 5% of responses without an RVC). Because several cells contain few responses, these proportions are reported descriptively.</w:t>
      </w:r>
    </w:p>
    <w:p w14:paraId="570C2E60" w14:textId="326EE807" w:rsidR="009D4CF3" w:rsidRDefault="00000000">
      <w:pPr>
        <w:pStyle w:val="TableNumber"/>
      </w:pPr>
      <w:r>
        <w:rPr/>
        <w:t xml:space="preserve">Table 2</w:t>
      </w:r>
    </w:p>
    <w:p w14:paraId="570C2E60" w14:textId="326EE807" w:rsidR="009D4CF3" w:rsidRDefault="00000000">
      <w:pPr>
        <w:pStyle w:val="TableTitle"/>
      </w:pPr>
      <w:r>
        <w:rPr>
          <w:i/>
        </w:rPr>
        <w:t xml:space="preserve">Response Categories by Result Realization and Age Group in Experiment 2 (Percentages of Responses)</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Borders>
              <w:bottom w:val="single" w:sz="4" w:space="0" w:color="000000"/>
            </w:tcBorders>
          </w:tcPr>
          <w:p>
            <w:pPr>
              <w:pStyle w:val="TableText"/>
            </w:pPr>
            <w:r/>
            <w:r>
              <w:rPr/>
              <w:t xml:space="preserve">Age group</w:t>
            </w:r>
          </w:p>
        </w:tc>
        <w:tc>
          <w:tcPr>
            <w:tcW w:type="dxa" w:w="1170"/>
            <w:tcBorders>
              <w:bottom w:val="single" w:sz="4" w:space="0" w:color="000000"/>
            </w:tcBorders>
          </w:tcPr>
          <w:p>
            <w:pPr>
              <w:pStyle w:val="TableText"/>
            </w:pPr>
            <w:r/>
            <w:r>
              <w:rPr/>
              <w:t xml:space="preserve">Result</w:t>
            </w:r>
          </w:p>
        </w:tc>
        <w:tc>
          <w:tcPr>
            <w:tcW w:type="dxa" w:w="1170"/>
            <w:tcBorders>
              <w:bottom w:val="single" w:sz="4" w:space="0" w:color="000000"/>
            </w:tcBorders>
          </w:tcPr>
          <w:p>
            <w:pPr>
              <w:pStyle w:val="TableText"/>
              <w:jc w:val="center"/>
            </w:pPr>
            <w:r/>
            <w:r>
              <w:rPr>
                <w:i/>
              </w:rPr>
              <w:t xml:space="preserve">n</w:t>
            </w:r>
          </w:p>
        </w:tc>
        <w:tc>
          <w:tcPr>
            <w:tcW w:type="dxa" w:w="1170"/>
            <w:tcBorders>
              <w:bottom w:val="single" w:sz="4" w:space="0" w:color="000000"/>
            </w:tcBorders>
          </w:tcPr>
          <w:p>
            <w:pPr>
              <w:pStyle w:val="TableText"/>
              <w:jc w:val="center"/>
            </w:pPr>
            <w:r/>
            <w:r>
              <w:rPr/>
              <w:t xml:space="preserve">RVC</w:t>
            </w:r>
          </w:p>
        </w:tc>
        <w:tc>
          <w:tcPr>
            <w:tcW w:type="dxa" w:w="1170"/>
            <w:tcBorders>
              <w:bottom w:val="single" w:sz="4" w:space="0" w:color="000000"/>
            </w:tcBorders>
          </w:tcPr>
          <w:p>
            <w:pPr>
              <w:pStyle w:val="TableText"/>
              <w:jc w:val="center"/>
            </w:pPr>
            <w:r/>
            <w:r>
              <w:rPr/>
              <w:t xml:space="preserve">Separate predicates</w:t>
            </w:r>
          </w:p>
        </w:tc>
        <w:tc>
          <w:tcPr>
            <w:tcW w:type="dxa" w:w="1170"/>
            <w:tcBorders>
              <w:bottom w:val="single" w:sz="4" w:space="0" w:color="000000"/>
            </w:tcBorders>
          </w:tcPr>
          <w:p>
            <w:pPr>
              <w:pStyle w:val="TableText"/>
              <w:jc w:val="center"/>
            </w:pPr>
            <w:r/>
            <w:r>
              <w:rPr/>
              <w:t xml:space="preserve">Result only</w:t>
            </w:r>
          </w:p>
        </w:tc>
        <w:tc>
          <w:tcPr>
            <w:tcW w:type="dxa" w:w="1170"/>
            <w:tcBorders>
              <w:bottom w:val="single" w:sz="4" w:space="0" w:color="000000"/>
            </w:tcBorders>
          </w:tcPr>
          <w:p>
            <w:pPr>
              <w:pStyle w:val="TableText"/>
              <w:jc w:val="center"/>
            </w:pPr>
            <w:r/>
            <w:r>
              <w:rPr/>
              <w:t xml:space="preserve">Action only</w:t>
            </w:r>
          </w:p>
        </w:tc>
        <w:tc>
          <w:tcPr>
            <w:tcW w:type="dxa" w:w="1170"/>
            <w:tcBorders>
              <w:bottom w:val="single" w:sz="4" w:space="0" w:color="000000"/>
            </w:tcBorders>
          </w:tcPr>
          <w:p>
            <w:pPr>
              <w:pStyle w:val="TableText"/>
              <w:jc w:val="center"/>
            </w:pPr>
            <w:r/>
            <w:r>
              <w:rPr/>
              <w:t xml:space="preserve">Neither</w:t>
            </w:r>
          </w:p>
        </w:tc>
      </w:tr>
      <w:tr>
        <w:tc>
          <w:tcPr>
            <w:tcW w:type="dxa" w:w="1170"/>
          </w:tcPr>
          <w:p>
            <w:pPr>
              <w:pStyle w:val="TableText"/>
            </w:pPr>
            <w:r/>
            <w:r>
              <w:rPr/>
              <w:t xml:space="preserve">4-year-olds</w:t>
            </w:r>
          </w:p>
        </w:tc>
        <w:tc>
          <w:tcPr>
            <w:tcW w:type="dxa" w:w="1170"/>
          </w:tcPr>
          <w:p>
            <w:pPr>
              <w:pStyle w:val="TableText"/>
            </w:pPr>
            <w:r/>
            <w:r>
              <w:rPr/>
              <w:t xml:space="preserve">Full</w:t>
            </w:r>
          </w:p>
        </w:tc>
        <w:tc>
          <w:tcPr>
            <w:tcW w:type="dxa" w:w="1170"/>
          </w:tcPr>
          <w:p>
            <w:pPr>
              <w:pStyle w:val="TableText"/>
              <w:jc w:val="center"/>
            </w:pPr>
            <w:r/>
            <w:r>
              <w:rPr/>
              <w:t xml:space="preserve">157</w:t>
            </w:r>
          </w:p>
        </w:tc>
        <w:tc>
          <w:tcPr>
            <w:tcW w:type="dxa" w:w="1170"/>
          </w:tcPr>
          <w:p>
            <w:pPr>
              <w:pStyle w:val="TableText"/>
              <w:jc w:val="center"/>
            </w:pPr>
            <w:r/>
            <w:r>
              <w:rPr/>
              <w:t xml:space="preserve">13</w:t>
            </w:r>
          </w:p>
        </w:tc>
        <w:tc>
          <w:tcPr>
            <w:tcW w:type="dxa" w:w="1170"/>
          </w:tcPr>
          <w:p>
            <w:pPr>
              <w:pStyle w:val="TableText"/>
              <w:jc w:val="center"/>
            </w:pPr>
            <w:r/>
            <w:r>
              <w:rPr/>
              <w:t xml:space="preserve">11</w:t>
            </w:r>
          </w:p>
        </w:tc>
        <w:tc>
          <w:tcPr>
            <w:tcW w:type="dxa" w:w="1170"/>
          </w:tcPr>
          <w:p>
            <w:pPr>
              <w:pStyle w:val="TableText"/>
              <w:jc w:val="center"/>
            </w:pPr>
            <w:r/>
            <w:r>
              <w:rPr/>
              <w:t xml:space="preserve">5</w:t>
            </w:r>
          </w:p>
        </w:tc>
        <w:tc>
          <w:tcPr>
            <w:tcW w:type="dxa" w:w="1170"/>
          </w:tcPr>
          <w:p>
            <w:pPr>
              <w:pStyle w:val="TableText"/>
              <w:jc w:val="center"/>
            </w:pPr>
            <w:r/>
            <w:r>
              <w:rPr/>
              <w:t xml:space="preserve">62</w:t>
            </w:r>
          </w:p>
        </w:tc>
        <w:tc>
          <w:tcPr>
            <w:tcW w:type="dxa" w:w="1170"/>
          </w:tcPr>
          <w:p>
            <w:pPr>
              <w:pStyle w:val="TableText"/>
              <w:jc w:val="center"/>
            </w:pPr>
            <w:r/>
            <w:r>
              <w:rPr/>
              <w:t xml:space="preserve">8</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156</w:t>
            </w:r>
          </w:p>
        </w:tc>
        <w:tc>
          <w:tcPr>
            <w:tcW w:type="dxa" w:w="1170"/>
          </w:tcPr>
          <w:p>
            <w:pPr>
              <w:pStyle w:val="TableText"/>
              <w:jc w:val="center"/>
            </w:pPr>
            <w:r/>
            <w:r>
              <w:rPr/>
              <w:t xml:space="preserve">7</w:t>
            </w:r>
          </w:p>
        </w:tc>
        <w:tc>
          <w:tcPr>
            <w:tcW w:type="dxa" w:w="1170"/>
          </w:tcPr>
          <w:p>
            <w:pPr>
              <w:pStyle w:val="TableText"/>
              <w:jc w:val="center"/>
            </w:pPr>
            <w:r/>
            <w:r>
              <w:rPr/>
              <w:t xml:space="preserve">1</w:t>
            </w:r>
          </w:p>
        </w:tc>
        <w:tc>
          <w:tcPr>
            <w:tcW w:type="dxa" w:w="1170"/>
          </w:tcPr>
          <w:p>
            <w:pPr>
              <w:pStyle w:val="TableText"/>
              <w:jc w:val="center"/>
            </w:pPr>
            <w:r/>
            <w:r>
              <w:rPr/>
              <w:t xml:space="preserve">4</w:t>
            </w:r>
          </w:p>
        </w:tc>
        <w:tc>
          <w:tcPr>
            <w:tcW w:type="dxa" w:w="1170"/>
          </w:tcPr>
          <w:p>
            <w:pPr>
              <w:pStyle w:val="TableText"/>
              <w:jc w:val="center"/>
            </w:pPr>
            <w:r/>
            <w:r>
              <w:rPr/>
              <w:t xml:space="preserve">78</w:t>
            </w:r>
          </w:p>
        </w:tc>
        <w:tc>
          <w:tcPr>
            <w:tcW w:type="dxa" w:w="1170"/>
          </w:tcPr>
          <w:p>
            <w:pPr>
              <w:pStyle w:val="TableText"/>
              <w:jc w:val="center"/>
            </w:pPr>
            <w:r/>
            <w:r>
              <w:rPr/>
              <w:t xml:space="preserve">11</w:t>
            </w:r>
          </w:p>
        </w:tc>
      </w:tr>
      <w:tr>
        <w:tc>
          <w:tcPr>
            <w:tcW w:type="dxa" w:w="1170"/>
          </w:tcPr>
          <w:p>
            <w:pPr>
              <w:pStyle w:val="TableText"/>
            </w:pPr>
            <w:r/>
            <w:r>
              <w:rPr/>
              <w:t xml:space="preserve">5-year-olds</w:t>
            </w:r>
          </w:p>
        </w:tc>
        <w:tc>
          <w:tcPr>
            <w:tcW w:type="dxa" w:w="1170"/>
          </w:tcPr>
          <w:p>
            <w:pPr>
              <w:pStyle w:val="TableText"/>
            </w:pPr>
            <w:r/>
            <w:r>
              <w:rPr/>
              <w:t xml:space="preserve">Full</w:t>
            </w:r>
          </w:p>
        </w:tc>
        <w:tc>
          <w:tcPr>
            <w:tcW w:type="dxa" w:w="1170"/>
          </w:tcPr>
          <w:p>
            <w:pPr>
              <w:pStyle w:val="TableText"/>
              <w:jc w:val="center"/>
            </w:pPr>
            <w:r/>
            <w:r>
              <w:rPr/>
              <w:t xml:space="preserve">159</w:t>
            </w:r>
          </w:p>
        </w:tc>
        <w:tc>
          <w:tcPr>
            <w:tcW w:type="dxa" w:w="1170"/>
          </w:tcPr>
          <w:p>
            <w:pPr>
              <w:pStyle w:val="TableText"/>
              <w:jc w:val="center"/>
            </w:pPr>
            <w:r/>
            <w:r>
              <w:rPr/>
              <w:t xml:space="preserve">26</w:t>
            </w:r>
          </w:p>
        </w:tc>
        <w:tc>
          <w:tcPr>
            <w:tcW w:type="dxa" w:w="1170"/>
          </w:tcPr>
          <w:p>
            <w:pPr>
              <w:pStyle w:val="TableText"/>
              <w:jc w:val="center"/>
            </w:pPr>
            <w:r/>
            <w:r>
              <w:rPr/>
              <w:t xml:space="preserve">10</w:t>
            </w:r>
          </w:p>
        </w:tc>
        <w:tc>
          <w:tcPr>
            <w:tcW w:type="dxa" w:w="1170"/>
          </w:tcPr>
          <w:p>
            <w:pPr>
              <w:pStyle w:val="TableText"/>
              <w:jc w:val="center"/>
            </w:pPr>
            <w:r/>
            <w:r>
              <w:rPr/>
              <w:t xml:space="preserve">4</w:t>
            </w:r>
          </w:p>
        </w:tc>
        <w:tc>
          <w:tcPr>
            <w:tcW w:type="dxa" w:w="1170"/>
          </w:tcPr>
          <w:p>
            <w:pPr>
              <w:pStyle w:val="TableText"/>
              <w:jc w:val="center"/>
            </w:pPr>
            <w:r/>
            <w:r>
              <w:rPr/>
              <w:t xml:space="preserve">53</w:t>
            </w:r>
          </w:p>
        </w:tc>
        <w:tc>
          <w:tcPr>
            <w:tcW w:type="dxa" w:w="1170"/>
          </w:tcPr>
          <w:p>
            <w:pPr>
              <w:pStyle w:val="TableText"/>
              <w:jc w:val="center"/>
            </w:pPr>
            <w:r/>
            <w:r>
              <w:rPr/>
              <w:t xml:space="preserve">7</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158</w:t>
            </w:r>
          </w:p>
        </w:tc>
        <w:tc>
          <w:tcPr>
            <w:tcW w:type="dxa" w:w="1170"/>
          </w:tcPr>
          <w:p>
            <w:pPr>
              <w:pStyle w:val="TableText"/>
              <w:jc w:val="center"/>
            </w:pPr>
            <w:r/>
            <w:r>
              <w:rPr/>
              <w:t xml:space="preserve">7</w:t>
            </w:r>
          </w:p>
        </w:tc>
        <w:tc>
          <w:tcPr>
            <w:tcW w:type="dxa" w:w="1170"/>
          </w:tcPr>
          <w:p>
            <w:pPr>
              <w:pStyle w:val="TableText"/>
              <w:jc w:val="center"/>
            </w:pPr>
            <w:r/>
            <w:r>
              <w:rPr/>
              <w:t xml:space="preserve">2</w:t>
            </w:r>
          </w:p>
        </w:tc>
        <w:tc>
          <w:tcPr>
            <w:tcW w:type="dxa" w:w="1170"/>
          </w:tcPr>
          <w:p>
            <w:pPr>
              <w:pStyle w:val="TableText"/>
              <w:jc w:val="center"/>
            </w:pPr>
            <w:r/>
            <w:r>
              <w:rPr/>
              <w:t xml:space="preserve">3</w:t>
            </w:r>
          </w:p>
        </w:tc>
        <w:tc>
          <w:tcPr>
            <w:tcW w:type="dxa" w:w="1170"/>
          </w:tcPr>
          <w:p>
            <w:pPr>
              <w:pStyle w:val="TableText"/>
              <w:jc w:val="center"/>
            </w:pPr>
            <w:r/>
            <w:r>
              <w:rPr/>
              <w:t xml:space="preserve">80</w:t>
            </w:r>
          </w:p>
        </w:tc>
        <w:tc>
          <w:tcPr>
            <w:tcW w:type="dxa" w:w="1170"/>
          </w:tcPr>
          <w:p>
            <w:pPr>
              <w:pStyle w:val="TableText"/>
              <w:jc w:val="center"/>
            </w:pPr>
            <w:r/>
            <w:r>
              <w:rPr/>
              <w:t xml:space="preserve">8</w:t>
            </w:r>
          </w:p>
        </w:tc>
      </w:tr>
      <w:tr>
        <w:tc>
          <w:tcPr>
            <w:tcW w:type="dxa" w:w="1170"/>
          </w:tcPr>
          <w:p>
            <w:pPr>
              <w:pStyle w:val="TableText"/>
            </w:pPr>
            <w:r/>
            <w:r>
              <w:rPr/>
              <w:t xml:space="preserve">Adults</w:t>
            </w:r>
          </w:p>
        </w:tc>
        <w:tc>
          <w:tcPr>
            <w:tcW w:type="dxa" w:w="1170"/>
          </w:tcPr>
          <w:p>
            <w:pPr>
              <w:pStyle w:val="TableText"/>
            </w:pPr>
            <w:r/>
            <w:r>
              <w:rPr/>
              <w:t xml:space="preserve">Full</w:t>
            </w:r>
          </w:p>
        </w:tc>
        <w:tc>
          <w:tcPr>
            <w:tcW w:type="dxa" w:w="1170"/>
          </w:tcPr>
          <w:p>
            <w:pPr>
              <w:pStyle w:val="TableText"/>
              <w:jc w:val="center"/>
            </w:pPr>
            <w:r/>
            <w:r>
              <w:rPr/>
              <w:t xml:space="preserve">200</w:t>
            </w:r>
          </w:p>
        </w:tc>
        <w:tc>
          <w:tcPr>
            <w:tcW w:type="dxa" w:w="1170"/>
          </w:tcPr>
          <w:p>
            <w:pPr>
              <w:pStyle w:val="TableText"/>
              <w:jc w:val="center"/>
            </w:pPr>
            <w:r/>
            <w:r>
              <w:rPr/>
              <w:t xml:space="preserve">54</w:t>
            </w:r>
          </w:p>
        </w:tc>
        <w:tc>
          <w:tcPr>
            <w:tcW w:type="dxa" w:w="1170"/>
          </w:tcPr>
          <w:p>
            <w:pPr>
              <w:pStyle w:val="TableText"/>
              <w:jc w:val="center"/>
            </w:pPr>
            <w:r/>
            <w:r>
              <w:rPr/>
              <w:t xml:space="preserve">12</w:t>
            </w:r>
          </w:p>
        </w:tc>
        <w:tc>
          <w:tcPr>
            <w:tcW w:type="dxa" w:w="1170"/>
          </w:tcPr>
          <w:p>
            <w:pPr>
              <w:pStyle w:val="TableText"/>
              <w:jc w:val="center"/>
            </w:pPr>
            <w:r/>
            <w:r>
              <w:rPr/>
              <w:t xml:space="preserve">2</w:t>
            </w:r>
          </w:p>
        </w:tc>
        <w:tc>
          <w:tcPr>
            <w:tcW w:type="dxa" w:w="1170"/>
          </w:tcPr>
          <w:p>
            <w:pPr>
              <w:pStyle w:val="TableText"/>
              <w:jc w:val="center"/>
            </w:pPr>
            <w:r/>
            <w:r>
              <w:rPr/>
              <w:t xml:space="preserve">31</w:t>
            </w:r>
          </w:p>
        </w:tc>
        <w:tc>
          <w:tcPr>
            <w:tcW w:type="dxa" w:w="1170"/>
          </w:tcPr>
          <w:p>
            <w:pPr>
              <w:pStyle w:val="TableText"/>
              <w:jc w:val="center"/>
            </w:pPr>
            <w:r/>
            <w:r>
              <w:rPr/>
              <w:t xml:space="preserve">2</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200</w:t>
            </w:r>
          </w:p>
        </w:tc>
        <w:tc>
          <w:tcPr>
            <w:tcW w:type="dxa" w:w="1170"/>
          </w:tcPr>
          <w:p>
            <w:pPr>
              <w:pStyle w:val="TableText"/>
              <w:jc w:val="center"/>
            </w:pPr>
            <w:r/>
            <w:r>
              <w:rPr/>
              <w:t xml:space="preserve">26</w:t>
            </w:r>
          </w:p>
        </w:tc>
        <w:tc>
          <w:tcPr>
            <w:tcW w:type="dxa" w:w="1170"/>
          </w:tcPr>
          <w:p>
            <w:pPr>
              <w:pStyle w:val="TableText"/>
              <w:jc w:val="center"/>
            </w:pPr>
            <w:r/>
            <w:r>
              <w:rPr/>
              <w:t xml:space="preserve">2</w:t>
            </w:r>
          </w:p>
        </w:tc>
        <w:tc>
          <w:tcPr>
            <w:tcW w:type="dxa" w:w="1170"/>
          </w:tcPr>
          <w:p>
            <w:pPr>
              <w:pStyle w:val="TableText"/>
              <w:jc w:val="center"/>
            </w:pPr>
            <w:r/>
            <w:r>
              <w:rPr/>
              <w:t xml:space="preserve">0</w:t>
            </w:r>
          </w:p>
        </w:tc>
        <w:tc>
          <w:tcPr>
            <w:tcW w:type="dxa" w:w="1170"/>
          </w:tcPr>
          <w:p>
            <w:pPr>
              <w:pStyle w:val="TableText"/>
              <w:jc w:val="center"/>
            </w:pPr>
            <w:r/>
            <w:r>
              <w:rPr/>
              <w:t xml:space="preserve">67</w:t>
            </w:r>
          </w:p>
        </w:tc>
        <w:tc>
          <w:tcPr>
            <w:tcW w:type="dxa" w:w="1170"/>
          </w:tcPr>
          <w:p>
            <w:pPr>
              <w:pStyle w:val="TableText"/>
              <w:jc w:val="center"/>
            </w:pPr>
            <w:r/>
            <w:r>
              <w:rPr/>
              <w:t xml:space="preserve">5</w:t>
            </w:r>
          </w:p>
        </w:tc>
      </w:tr>
    </w:tbl>
    <w:p w14:paraId="461146B5" w14:textId="764D5272" w:rsidR="009D4CF3" w:rsidRPr="0055050F" w:rsidRDefault="00000000">
      <w:pPr>
        <w:pStyle w:val="TableNote"/>
        <w:rPr>
          <w:rFonts w:eastAsiaTheme="minorEastAsia"/>
        </w:rPr>
      </w:pPr>
      <w:r>
        <w:rPr>
          <w:i/>
        </w:rPr>
        <w:t xml:space="preserve">Note.</w:t>
      </w:r>
      <w:r>
        <w:rPr/>
        <w:t xml:space="preserve"> RVC = action and target result expressed in an RVC, affirmed or negated. Responses containing an RVC that did not express the target result (e.g., an RVC with a different result) are classified by the remaining information; therefore, the RVC column can be lower than the proportion of responses containing an RVC reported in the text. All 10 pairs are included.</w:t>
      </w:r>
    </w:p>
    <w:p w14:paraId="461146B5" w14:textId="764D5272" w:rsidR="009D4CF3" w:rsidRPr="0055050F" w:rsidRDefault="00000000">
      <w:pPr/>
      <w:r>
        <w:rPr/>
        <w:t xml:space="preserve">Restricting the analyses to the eight retained pairs did not change these patterns (RVC use, full minus zero, log-odds: 4-year-olds: 0.62 [−0.61, 1.90]; 5-year-olds: 1.81 [0.66, 3.06]; adults: 2.01 [1.00, 3.08]). Descriptively, in zero-result events RVCs were produced somewhat more often for stronger- than for weaker-association actions (4-year-olds: 12% vs. 6%; 5-year-olds: 12% vs. 6%; adults: 33% vs. 25%), mostly in negated or attempt constructions; this comparison was not planned and is not modeled. </w:t>
      </w:r>
      <w:r>
        <w:rPr>
          <w:highlight w:val="yellow"/>
        </w:rPr>
        <w:t xml:space="preserve">[产出编码为依据逐项关键词表的规则编码初稿，待人工核对和第二编码者编码后更新以上数值]</w:t>
      </w:r>
    </w:p>
    <w:p w14:paraId="095C048D" w14:textId="77777777" w:rsidR="009D4CF3" w:rsidRDefault="00000000">
      <w:pPr>
        <w:pStyle w:val="Heading1"/>
      </w:pPr>
      <w:r>
        <w:t>General Discussion</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2A274960" w14:textId="262DD448" w:rsidR="009D4CF3" w:rsidRDefault="00000000">
      <w:proofErr w:type="spellStart"/>
      <w:proofErr w:type="spellEnd"/>
      <w:r w:rsidRPr="00055864">
        <w:rPr/>
        <w:t xml:space="preserve">Three main findings emerged. First, 4-year-olds, 5-year-olds, and adults all rejected RVC descriptions of zero-result events and accepted V1 descriptions of these events more often, although children accepted V1 descriptions less often than adults. Second, within pairs matched for object and target result, all three groups accepted V1 descriptions of zero-result events less often when the V1 named an action more strongly associated with the target result; the size of this association effect did not differ credibly between children and adults, and children’s lower acceptance held for both stronger- and weaker-association V1s. Third, in their own descriptions, children and adults produced fewer RVCs and mentioned the target result less often for zero-result than for full-result events, and children produced fewer RVCs than adults mainly because they mentioned the result less often, not because they expressed it in other forms.</w:t>
      </w:r>
    </w:p>
    <w:p w14:paraId="0C5F8170" w14:textId="77777777" w:rsidR="009D4CF3" w:rsidRDefault="00000000">
      <w:pPr>
        <w:pStyle w:val="Heading2"/>
      </w:pPr>
      <w:r>
        <w:t>RVC and V1 Descriptions</w:t>
      </w:r>
    </w:p>
    <w:p w14:paraId="46F550EC" w14:textId="77777777" w:rsidR="009D4CF3" w:rsidRDefault="00000000">
      <w:r>
        <w:rPr/>
        <w:t xml:space="preserve">The larger effect of result realization on RVC than on V1 descriptions shows that children treat a result expressed by V2 differently from a result that is only associated with the action named by V1. This replicates the distinction found in 5-year-olds (J. Liu et al., 2026) and in a small group of children around 4;6 (Chen, 2017), and it extends it to a larger sample of 4-year-olds. On the probability scale, the difference between the two forms was present in all three groups. On the log-odds scale, the Form × Result Realization interaction was probably positive in 5-year-olds and adults (clearly so in 5-year-olds when all 10 pairs were included) but uncertain in 4-year-olds, and 4-year-olds accepted RVC descriptions of zero-result events somewhat more often (19%) than 5-year-olds (11%) and adults (1%). The distinction is therefore in place by 4 years of age for the events tested here, but it is less sharp at 4 than at 5, both because 4-year-olds occasionally accept RVC descriptions of unattained results and because they reject many V1 descriptions of these events. As noted in the Introduction, this conclusion concerns the selected RVCs and events, not RVC semantics or telicity in general.</w:t>
      </w:r>
    </w:p>
    <w:p w14:paraId="46F550EC" w14:textId="77777777" w:rsidR="009D4CF3" w:rsidRDefault="00000000">
      <w:pPr/>
      <w:r>
        <w:rPr/>
        <w:t xml:space="preserve">Children accepted V1 descriptions of zero-result events less often than adults (55% and 58% vs. 83%), replicating the finding that children judge V1 descriptions of events without the result more strictly than adults do (Chen, 2017; J. Liu et al., 2026). Their stricter judgments did not make the two forms equivalent, however: Even 4-year-olds accepted V1 descriptions of zero-result events far more often than RVC descriptions. Children thus do not treat V1s as entailing the result in the way RVCs do; rather, a V1 description of an unattained result is acceptable to them in fewer cases than to adults.</w:t>
      </w:r>
    </w:p>
    <w:p w14:paraId="46F550EC" w14:textId="77777777" w:rsidR="009D4CF3" w:rsidRDefault="00000000">
      <w:pPr/>
      <w:r>
        <w:rPr/>
        <w:t xml:space="preserve">The exception to children’s rejection of RVC descriptions of zero-result events was Pair 9, in which the stain on the mirror was small and inconspicuous. In this pair, children accepted the RVC descriptions of zero-result videos in more than half of the trials, whereas adults rarely did. This pattern is consistent with the finding that endstate salience affects Mandarin-speaking children’s judgments of RVCs: Children aged 3 to 7 years rejected RVCs for events without a change of state more often when the change would have been a salient change of shape than when it would have been a less salient change of location (Song &amp; Haryu, 2025). When the end state is hard to see, children may thus be less certain that the result named by V2 is absent, and accept an RVC that they would reject for an event with a clearly visible absence of the result. Pair 9 therefore does not indicate that children treat RVCs as compatible with an unattained result; it indicates that their judgments depend on how clearly the event shows that the result was not attained, a factor that the other pairs, in which the absence of the result was easy to see, held largely constant.</w:t>
      </w:r>
    </w:p>
    <w:p w14:paraId="4C2E4028" w14:textId="77777777" w:rsidR="009D4CF3" w:rsidRPr="0054146F" w:rsidRDefault="00000000">
      <w:pPr>
        <w:pStyle w:val="Heading2"/>
        <w:rPr>
          <w:color w:val="auto"/>
        </w:rPr>
      </w:pPr>
      <w:r w:rsidRPr="0054146F">
        <w:rPr>
          <w:color w:val="auto"/>
        </w:rPr>
        <w:t>Action–Result Association and V1 Descriptions</w:t>
      </w:r>
    </w:p>
    <w:p w14:paraId="256010E1" w14:textId="77777777" w:rsidR="009D4CF3" w:rsidRDefault="00000000">
      <w:r>
        <w:rPr/>
        <w:t xml:space="preserve">Children and adults rejected V1 descriptions of zero-result events more often when the V1 named an action strongly associated with the target result. Because the object and the target result were constant within pairs, this association effect cannot be attributed to differences between objects or results, which was not possible in previous studies in which each V1 was presented with a different object and result (Chen, 2017). The effect was carried by most pairs rather than by one or two, and it was found with all 10 pairs and with each pair left out in turn. For both children and adults, then, what a V1 description conveys about a result depends on how the named action relates to that result. In adults, this is consistent with the cline in the acceptability of result cancellation across verbs (Chen, 2018) and with evidence that comprehenders’ expectations about events depend on the combination of a verb with its arguments (Bicknell et al., 2010; McRae &amp; Matsuki, 2009). In children, it shows that the variation among V1s that Chen (2017) attributed to the strength of the state-change implicature can be found when the event is held constant and only the action varies.</w:t>
      </w:r>
    </w:p>
    <w:p w14:paraId="7174531D" w14:textId="77777777" w:rsidR="009D4CF3" w:rsidRDefault="00000000">
      <w:r>
        <w:rPr/>
        <w:t xml:space="preserve">Why action–result association matters is not settled by previous work. Accounts of monomorphemic verbs hold that a verb can imply a result without entailing it and that the strength of the implication varies, whether across verbs (Chen, 2018) or across fulfillment types (Kou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2021), a failed attempt at a typical means may make a V1 description less acceptable. The two dimensions usually go together but need not coincide (Kim &amp; Murphy, 2011). These possibilities are offered as interpretations of the association effect, not as hypotheses the study was designed to test.</w:t>
      </w:r>
    </w:p>
    <w:p w14:paraId="16A57566" w14:textId="77777777" w:rsidR="009D4CF3" w:rsidRDefault="00000000">
      <w:r>
        <w:rPr/>
        <w:t xml:space="preserve">The association effect did not differ credibly between children and adults, and children accepted V1 descriptions of zero-result events less often than adults for both stronger- and weaker-association V1s. This pattern matches the predictions and the initial analysis with the original Strong/Weak coding. The comparison between children and adults was inconclusive rather than null, however: The effect was, if anything, smaller in children on the log-odds scale and larger in children on the probability scale, because adults accepted weaker-association V1s almost always, and the intervals on both scales were wide. With this caveat, the results suggest that children are sensitive to action–result association in the same way as adults and that their stricter judgments do not arise only for V1s that name strongly associated actions. Children’s lower acceptance then reflects a more general difference in how they evaluate V1 descriptions of failed attempts. Three explanations of this difference cannot be separated by the binary task: Children may find it harder than adults to set aside an inference that the result occurred, may reject a true description as inadequate because it leaves an expected result unaddressed, or may judge a failed attempt to be a poor instance of the action. Because children tend to be more tolerant than adults of underinformative descriptions in binary judgment tasks (Katsos &amp; Bishop, 2011), the second explanation would require that a description that leaves the result unaddressed is perceived as more than underinformative when an attempt has failed. The production data, discussed below, bear on these explanations.</w:t>
      </w:r>
    </w:p>
    <w:p w14:paraId="64959941" w14:textId="77777777" w:rsidR="009D4CF3" w:rsidRDefault="00000000">
      <w:r>
        <w:rPr/>
        <w:t xml:space="preserve">Because the stronger- and weaker-association expressions differ in both rated likelihood and rated typicality, the study cannot determine which dimension, or what the two share, underlies the association effect; the two ratings diverged only in Pair 7, which was excluded. The contrast between stronger- and weaker-association expressions also goes together with a difference in the conventionality of the corresponding RVCs. A child who often hears </w:t>
      </w:r>
      <w:r>
        <w:rPr>
          <w:i/>
        </w:rPr>
        <w:t xml:space="preserve">chuī-miè</w:t>
      </w:r>
      <w:r>
        <w:rPr/>
        <w:t xml:space="preserve"> “blow-extinguished” may come to expect a candle to go out after </w:t>
      </w:r>
      <w:r>
        <w:rPr>
          <w:i/>
        </w:rPr>
        <w:t xml:space="preserve">chuī</w:t>
      </w:r>
      <w:r>
        <w:rPr/>
        <w:t xml:space="preserve"> “blow,” so familiarity with the RVC offers an alternative account of the association effect. This account is not incompatible with the association account, because an action that reliably brings about a result is also likely to be described often with the corresponding RVC, but the present materials cannot separate the two. Pair 6 offers a small hint, because the RVC with the weaker-association V1, </w:t>
      </w:r>
      <w:r>
        <w:rPr>
          <w:i/>
        </w:rPr>
        <w:t xml:space="preserve">tuī-dǎo</w:t>
      </w:r>
      <w:r>
        <w:rPr/>
        <w:t xml:space="preserve"> “push-fallen,” was far more frequent than </w:t>
      </w:r>
      <w:r>
        <w:rPr>
          <w:i/>
        </w:rPr>
        <w:t xml:space="preserve">tī-dǎo</w:t>
      </w:r>
      <w:r>
        <w:rPr/>
        <w:t xml:space="preserve"> “kick-fallen”; children nevertheless accepted </w:t>
      </w:r>
      <w:r>
        <w:rPr>
          <w:i/>
        </w:rPr>
        <w:t xml:space="preserve">tī</w:t>
      </w:r>
      <w:r>
        <w:rPr/>
        <w:t xml:space="preserve"> “kick” less often than </w:t>
      </w:r>
      <w:r>
        <w:rPr>
          <w:i/>
        </w:rPr>
        <w:t xml:space="preserve">tuī</w:t>
      </w:r>
      <w:r>
        <w:rPr/>
        <w:t xml:space="preserve"> “push” in zero-result events, as the ratings predict. A single pair cannot decide between the accounts, and the frequency of </w:t>
      </w:r>
      <w:r>
        <w:rPr>
          <w:i/>
        </w:rPr>
        <w:t xml:space="preserve">tuī-dǎo</w:t>
      </w:r>
      <w:r>
        <w:rPr/>
        <w:t xml:space="preserve"> reflects mainly abstract uses.</w:t>
      </w:r>
    </w:p>
    <w:p w14:paraId="5A252C3A" w14:textId="77777777" w:rsidR="009D4CF3" w:rsidRDefault="00000000">
      <w:pPr>
        <w:pStyle w:val="Heading2"/>
      </w:pPr>
      <w:r>
        <w:t>Form and Information in Production</w:t>
      </w:r>
    </w:p>
    <w:p w14:paraId="5F1E9033" w14:textId="77777777" w:rsidR="009D4CF3" w:rsidRDefault="00000000">
      <w:r>
        <w:rPr/>
        <w:t xml:space="preserve">Comparing RVC use with mention of the target result separates the forms speakers used from the information they expressed. All groups mentioned the target result less often for zero-result than for full-result events, and 5-year-olds and adults also produced fewer RVCs; 4-year-olds produced few RVCs in either condition. RVC use and mention of the target result declined together, and in zero-result events responses that mentioned the result in another form, in a separate predicate or without the action, were rare. Speakers describing a failed attempt thus tended to leave the result unmentioned rather than express it in another form. When adults mentioned the result in a zero-result event, they usually denied it (e.g., </w:t>
      </w:r>
      <w:r>
        <w:rPr>
          <w:i/>
        </w:rPr>
        <w:t xml:space="preserve">méi zá-kāi</w:t>
      </w:r>
      <w:r>
        <w:rPr/>
        <w:t xml:space="preserve"> “did not smash open”) or presented it as the actor’s goal (e.g., </w:t>
      </w:r>
      <w:r>
        <w:rPr>
          <w:i/>
        </w:rPr>
        <w:t xml:space="preserve">shìtú sī-kāi</w:t>
      </w:r>
      <w:r>
        <w:rPr/>
        <w:t xml:space="preserve"> “tried to tear open”), so their RVCs in zero-result events typically appeared in negated, potential, or attempt constructions. Children rarely mentioned the result in zero-result events, and when they did, they mostly denied it, often with potential forms such as </w:t>
      </w:r>
      <w:r>
        <w:rPr>
          <w:i/>
        </w:rPr>
        <w:t xml:space="preserve">qiāo bù kāi</w:t>
      </w:r>
      <w:r>
        <w:rPr/>
        <w:t xml:space="preserve"> “knock-cannot-open.” Responses affirming the target result in a zero-result event were rare in all groups (1%–4% of zero-result responses), so children did not describe an unattained result as attained.</w:t>
      </w:r>
    </w:p>
    <w:p w14:paraId="5F1E9033" w14:textId="77777777" w:rsidR="009D4CF3" w:rsidRDefault="00000000">
      <w:pPr/>
      <w:r>
        <w:rPr/>
        <w:t xml:space="preserve">Children produced fewer RVCs than adults in both result conditions. In full-result events, children’s descriptions more often named the action alone, and children did not express the result in separate predicates or without the action more often than adults. Children’s lower RVC use therefore reflects less frequent mention of the target result rather than a different way of packaging it. This is consistent with evidence that children can form RVCs (Chen, 2008; Deng, 2019; Hsu et al., 2019) but shows that, in an open-ended task, they often do not express the result even when it is attained. RVC frequency alone therefore underestimates what children know about RVCs, and comparing RVC use with mention of the result is needed to interpret it. Because children responded orally and adults in writing, part of this difference may reflect response modality; adults’ written descriptions were on average more than twice as long as children’s oral descriptions (15 vs. 6 characters).</w:t>
      </w:r>
    </w:p>
    <w:p w14:paraId="5F1E9033" w14:textId="77777777" w:rsidR="009D4CF3" w:rsidRDefault="00000000">
      <w:pPr/>
      <w:r>
        <w:rPr/>
        <w:t xml:space="preserve">The two experiments also present an asymmetry at the group level. In production, children described most zero-result events with action-only responses, that is, with the kind of V1 description they rejected in about 40% of comprehension trials. If children judged V1 descriptions of failed attempts to be false because the V1 entails the result, they should avoid such descriptions in production as well. That they produced them freely suggests that their rejections in comprehension do not reflect a lexical entailment but how they evaluate a description supplied to them, for example as leaving an expected result unaddressed or as describing a poor instance of the action. This interpretation is tentative, because comprehension and production were tested in independent samples and the tasks differ in their demands: An open-ended description task allows a speaker to describe the action without committing to the result, whereas a yes–no question requires a decision about a description that may be taken to bear on the result. A within-participant comparison of comprehension and production would test the interpretation directly.</w:t>
      </w:r>
    </w:p>
    <w:p w14:paraId="328EDA48" w14:textId="77777777" w:rsidR="009D4CF3" w:rsidRDefault="00000000">
      <w:pPr>
        <w:pStyle w:val="Heading2"/>
      </w:pPr>
      <w:r>
        <w:lastRenderedPageBreak/>
        <w:t>Limitations and Future Directions</w:t>
      </w:r>
    </w:p>
    <w:p w14:paraId="2D58C942" w14:textId="77777777" w:rsidR="009D4CF3" w:rsidRDefault="00000000">
      <w:r>
        <w:rPr/>
        <w:t xml:space="preserve">Several limitations follow from the design and from the materials.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 xml:space="preserve">tī</w:t>
      </w:r>
      <w:r>
        <w:rP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with stronger- and weaker-association V1s judged by different participants, each association effect rests on few items and small groups, and item-level estimates are descriptive; in addition, the ratings were collected and two pairs excluded after an initial analysis of the same children’s data. The eight-pair results agreed with the 10-pair analyses, but the association effect needs to be replicated with a new sample of children, and the comparison of the effect between children and adults requires larger samples. Fifth, the ratings describe expressions rather than videos, and the videos did not always elicit the intended V1; in Pair 9, the stain on the mirror was small, so the zero-result videos may not have shown clearly that the mirror remained unclean. More generally, the target results differ in kind and possibly in salience: Some involve a change of shape or integrity (a lychee coming open, paper tearing apart, a walnut cracking open, a finger bending), others a change of position or posture (a stool overturning, a bottle falling over), and others a change of surface state or light (a mirror becoming clean, a candle going out). Because endstate salience affects children’s judgments of RVCs (Song &amp; Haryu, 2025), such differences may contribute to variation across pairs, although they are matched within pairs, where the two actions share the object and the target result, and therefore cannot account for the association effect. Sixth, the production data were coded with item-specific criteria that will be checked by a second coder. </w:t>
      </w:r>
      <w:r>
        <w:rPr>
          <w:highlight w:val="yellow"/>
        </w:rPr>
        <w:t xml:space="preserve">[人工核对与第二编码者完成后修改此句]</w:t>
      </w:r>
      <w:r>
        <w:rPr/>
        <w:t xml:space="preserve">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25C533C3" w:rsidR="009D4CF3" w:rsidRDefault="00000000">
      <w:proofErr w:type="spellStart"/>
      <w:proofErr w:type="spellEnd"/>
      <w:r>
        <w:rPr/>
        <w:t xml:space="preserve">Mandarin-speaking 4- and 5-year-olds distinguish RVCs from their monomorphemic V1s with respect to the target result: Like adults, they reject RVC descriptions of events in which the result is not attained and accept V1 descriptions of these events more often, although less often than adults do. Their acceptance of V1 descriptions also depends on the relation between the named action and the result. When the object and the target result are held constant, children and adults alike are less willing to accept a V1 description of a failed attempt if the action is strongly associated with the result, and children’s stricter judgments hold for strongly and weakly associated actions alike. In their own descriptions, children rarely express an unattained result and often leave an attained result unmentioned, so that their lower use of RVCs reflects which information they express rather than how they package it. What a monomorphemic verb conveys about a result, for children as for adults, is thus best characterized not as a fixed property of the verb but as a property of the relation between the action it names and the result in question.</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(2), 191–222. https://doi.org/10.1017/cnj.2021.11</w:t>
      </w:r>
      <w:proofErr w:type="spellStart"/>
      <w:proofErr w:type="spellEnd"/>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w:t>
      </w:r>
      <w:proofErr w:type="spellStart"/>
      <w:proofErr w:type="spellEnd"/>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w:t>
      </w:r>
      <w:proofErr w:type="spellEnd"/>
      <w:r>
        <w:t xml:space="preserve">, H. (2020).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Universität Tübingen.</w:t>
      </w:r>
      <w:proofErr w:type="spellStart"/>
      <w:proofErr w:type="spellEnd"/>
    </w:p>
    <w:p w14:paraId="5A95214F"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lastRenderedPageBreak/>
        <w:t xml:space="preserve">R Core Team. (2024). </w:t>
      </w:r>
      <w:r>
        <w:rPr>
          <w:i/>
        </w:rPr>
        <w:t>R: A language and environment for statistical computing</w:t>
      </w:r>
      <w:r>
        <w:t>. R Foundation for Statistical Computing. https://www.R-project.org/</w:t>
      </w:r>
    </w:p>
    <w:p w14:paraId="0376CB4F" w14:textId="77777777" w:rsidR="009D4CF3" w:rsidRDefault="00000000">
      <w:pPr>
        <w:pStyle w:val="Reference"/>
      </w:pPr>
      <w:r>
        <w:rPr/>
        <w:t xml:space="preserve">Song, Z. T., &amp; Haryu, E. (2025, August). </w:t>
      </w:r>
      <w:r>
        <w:rPr>
          <w:i/>
        </w:rPr>
        <w:t xml:space="preserve">“The end matters”: Endstate salience in change-of-state events affects Mandarin-speaking children’s acceptance of verbal packaging patterns of action and result</w:t>
      </w:r>
      <w:r>
        <w:rPr/>
        <w:t xml:space="preserve"> [Poster presentation]. European Conference on Developmental Psychology (ECDP 2025), Prague, Czech Republic.</w:t>
      </w:r>
    </w:p>
    <w:p w14:paraId="0376CB4F" w14:textId="77777777" w:rsidR="009D4CF3" w:rsidRDefault="00000000">
      <w:pPr>
        <w:pStyle w:val="Reference"/>
      </w:pPr>
      <w:r>
        <w:t xml:space="preserve">Speer, R. (2022). </w:t>
      </w:r>
      <w:r>
        <w:rPr>
          <w:i/>
        </w:rPr>
        <w:t>wordfreq</w:t>
      </w:r>
      <w:r>
        <w:t xml:space="preserve"> (Version 3.0) [Computer software]. Zenodo. https://doi.org/10.5281/zenodo.7199437</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w:t>
      </w:r>
      <w:proofErr w:type="spellStart"/>
      <w:proofErr w:type="spellEnd"/>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(1), 71–86.</w:t>
      </w:r>
    </w:p>
    <w:p w14:paraId="18133AA6" w14:textId="77777777" w:rsidR="009D4CF3" w:rsidRDefault="00000000">
      <w:pPr>
        <w:pStyle w:val="Heading1"/>
        <w:pageBreakBefore/>
      </w:pPr>
      <w:r>
        <w:rPr/>
        <w:t xml:space="preserve">Appendix</w:t>
      </w:r>
    </w:p>
    <w:p w14:paraId="18133AA6" w14:textId="77777777" w:rsidR="009D4CF3" w:rsidRDefault="00000000">
      <w:pPr>
        <w:pStyle w:val="TableNumber"/>
      </w:pPr>
      <w:r>
        <w:rPr/>
        <w:t xml:space="preserve">Table A1</w:t>
      </w:r>
    </w:p>
    <w:p w14:paraId="18133AA6" w14:textId="77777777" w:rsidR="009D4CF3" w:rsidRDefault="00000000">
      <w:pPr>
        <w:pStyle w:val="TableTitle"/>
      </w:pPr>
      <w:r>
        <w:rPr>
          <w:i/>
        </w:rPr>
        <w:t xml:space="preserve">Proportion of Descriptions Containing the Intended V1 in the Verb–Video Correspondence Norming</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Borders>
              <w:bottom w:val="single" w:sz="4" w:space="0" w:color="000000"/>
            </w:tcBorders>
          </w:tcPr>
          <w:p>
            <w:pPr>
              <w:pStyle w:val="TableText"/>
            </w:pPr>
            <w:r/>
            <w:r>
              <w:rPr/>
              <w:t xml:space="preserve">Pair</w:t>
            </w:r>
          </w:p>
        </w:tc>
        <w:tc>
          <w:tcPr>
            <w:tcW w:type="dxa" w:w="1337"/>
            <w:tcBorders>
              <w:bottom w:val="single" w:sz="4" w:space="0" w:color="000000"/>
            </w:tcBorders>
          </w:tcPr>
          <w:p>
            <w:pPr>
              <w:pStyle w:val="TableText"/>
            </w:pPr>
            <w:r/>
            <w:r>
              <w:rPr/>
              <w:t xml:space="preserve">Stronger-association V1</w:t>
            </w:r>
          </w:p>
        </w:tc>
        <w:tc>
          <w:tcPr>
            <w:tcW w:type="dxa" w:w="1337"/>
            <w:tcBorders>
              <w:bottom w:val="single" w:sz="4" w:space="0" w:color="000000"/>
            </w:tcBorders>
          </w:tcPr>
          <w:p>
            <w:pPr>
              <w:pStyle w:val="TableText"/>
              <w:jc w:val="center"/>
            </w:pPr>
            <w:r/>
            <w:r>
              <w:rPr/>
              <w:t xml:space="preserve">First</w:t>
            </w:r>
          </w:p>
        </w:tc>
        <w:tc>
          <w:tcPr>
            <w:tcW w:type="dxa" w:w="1337"/>
            <w:tcBorders>
              <w:bottom w:val="single" w:sz="4" w:space="0" w:color="000000"/>
            </w:tcBorders>
          </w:tcPr>
          <w:p>
            <w:pPr>
              <w:pStyle w:val="TableText"/>
              <w:jc w:val="center"/>
            </w:pPr>
            <w:r/>
            <w:r>
              <w:rPr/>
              <w:t xml:space="preserve">All</w:t>
            </w:r>
          </w:p>
        </w:tc>
        <w:tc>
          <w:tcPr>
            <w:tcW w:type="dxa" w:w="1337"/>
            <w:tcBorders>
              <w:bottom w:val="single" w:sz="4" w:space="0" w:color="000000"/>
            </w:tcBorders>
          </w:tcPr>
          <w:p>
            <w:pPr>
              <w:pStyle w:val="TableText"/>
            </w:pPr>
            <w:r/>
            <w:r>
              <w:rPr/>
              <w:t xml:space="preserve">Weaker-association V1</w:t>
            </w:r>
          </w:p>
        </w:tc>
        <w:tc>
          <w:tcPr>
            <w:tcW w:type="dxa" w:w="1337"/>
            <w:tcBorders>
              <w:bottom w:val="single" w:sz="4" w:space="0" w:color="000000"/>
            </w:tcBorders>
          </w:tcPr>
          <w:p>
            <w:pPr>
              <w:pStyle w:val="TableText"/>
              <w:jc w:val="center"/>
            </w:pPr>
            <w:r/>
            <w:r>
              <w:rPr/>
              <w:t xml:space="preserve">First</w:t>
            </w:r>
          </w:p>
        </w:tc>
        <w:tc>
          <w:tcPr>
            <w:tcW w:type="dxa" w:w="1337"/>
            <w:tcBorders>
              <w:bottom w:val="single" w:sz="4" w:space="0" w:color="000000"/>
            </w:tcBorders>
          </w:tcPr>
          <w:p>
            <w:pPr>
              <w:pStyle w:val="TableText"/>
              <w:jc w:val="center"/>
            </w:pPr>
            <w:r/>
            <w:r>
              <w:rPr/>
              <w:t xml:space="preserve">All</w:t>
            </w:r>
          </w:p>
        </w:tc>
      </w:tr>
      <w:tr>
        <w:tc>
          <w:tcPr>
            <w:tcW w:type="dxa" w:w="1337"/>
          </w:tcPr>
          <w:p>
            <w:pPr>
              <w:pStyle w:val="TableText"/>
            </w:pPr>
            <w:r/>
            <w:r>
              <w:rPr/>
              <w:t xml:space="preserve">1</w:t>
            </w:r>
          </w:p>
        </w:tc>
        <w:tc>
          <w:tcPr>
            <w:tcW w:type="dxa" w:w="1337"/>
          </w:tcPr>
          <w:p>
            <w:pPr>
              <w:pStyle w:val="TableText"/>
            </w:pPr>
            <w:r/>
            <w:r>
              <w:rPr>
                <w:i/>
              </w:rPr>
              <w:t xml:space="preserve">bāo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niē</w:t>
            </w:r>
          </w:p>
        </w:tc>
        <w:tc>
          <w:tcPr>
            <w:tcW w:type="dxa" w:w="1337"/>
          </w:tcPr>
          <w:p>
            <w:pPr>
              <w:pStyle w:val="TableText"/>
              <w:jc w:val="center"/>
            </w:pPr>
            <w:r/>
            <w:r>
              <w:rPr/>
              <w:t xml:space="preserve">0.25</w:t>
            </w:r>
          </w:p>
        </w:tc>
        <w:tc>
          <w:tcPr>
            <w:tcW w:type="dxa" w:w="1337"/>
          </w:tcPr>
          <w:p>
            <w:pPr>
              <w:pStyle w:val="TableText"/>
              <w:jc w:val="center"/>
            </w:pPr>
            <w:r/>
            <w:r>
              <w:rPr/>
              <w:t xml:space="preserve">0.44</w:t>
            </w:r>
          </w:p>
        </w:tc>
      </w:tr>
      <w:tr>
        <w:tc>
          <w:tcPr>
            <w:tcW w:type="dxa" w:w="1337"/>
          </w:tcPr>
          <w:p>
            <w:pPr>
              <w:pStyle w:val="TableText"/>
            </w:pPr>
            <w:r/>
            <w:r>
              <w:rPr/>
              <w:t xml:space="preserve">2</w:t>
            </w:r>
          </w:p>
        </w:tc>
        <w:tc>
          <w:tcPr>
            <w:tcW w:type="dxa" w:w="1337"/>
          </w:tcPr>
          <w:p>
            <w:pPr>
              <w:pStyle w:val="TableText"/>
            </w:pPr>
            <w:r/>
            <w:r>
              <w:rPr>
                <w:i/>
              </w:rPr>
              <w:t xml:space="preserve">xiān</w:t>
            </w:r>
          </w:p>
        </w:tc>
        <w:tc>
          <w:tcPr>
            <w:tcW w:type="dxa" w:w="1337"/>
          </w:tcPr>
          <w:p>
            <w:pPr>
              <w:pStyle w:val="TableText"/>
              <w:jc w:val="center"/>
            </w:pPr>
            <w:r/>
            <w:r>
              <w:rPr/>
              <w:t xml:space="preserve">0.12</w:t>
            </w:r>
          </w:p>
        </w:tc>
        <w:tc>
          <w:tcPr>
            <w:tcW w:type="dxa" w:w="1337"/>
          </w:tcPr>
          <w:p>
            <w:pPr>
              <w:pStyle w:val="TableText"/>
              <w:jc w:val="center"/>
            </w:pPr>
            <w:r/>
            <w:r>
              <w:rPr/>
              <w:t xml:space="preserve">0.18</w:t>
            </w:r>
          </w:p>
        </w:tc>
        <w:tc>
          <w:tcPr>
            <w:tcW w:type="dxa" w:w="1337"/>
          </w:tcPr>
          <w:p>
            <w:pPr>
              <w:pStyle w:val="TableText"/>
            </w:pPr>
            <w:r/>
            <w:r>
              <w:rPr>
                <w:i/>
              </w:rPr>
              <w:t xml:space="preserve">pāi</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3</w:t>
            </w:r>
          </w:p>
        </w:tc>
        <w:tc>
          <w:tcPr>
            <w:tcW w:type="dxa" w:w="1337"/>
          </w:tcPr>
          <w:p>
            <w:pPr>
              <w:pStyle w:val="TableText"/>
            </w:pPr>
            <w:r/>
            <w:r>
              <w:rPr>
                <w:i/>
              </w:rPr>
              <w:t xml:space="preserve">bāi</w:t>
            </w:r>
          </w:p>
        </w:tc>
        <w:tc>
          <w:tcPr>
            <w:tcW w:type="dxa" w:w="1337"/>
          </w:tcPr>
          <w:p>
            <w:pPr>
              <w:pStyle w:val="TableText"/>
              <w:jc w:val="center"/>
            </w:pPr>
            <w:r/>
            <w:r>
              <w:rPr/>
              <w:t xml:space="preserve">0.88</w:t>
            </w:r>
          </w:p>
        </w:tc>
        <w:tc>
          <w:tcPr>
            <w:tcW w:type="dxa" w:w="1337"/>
          </w:tcPr>
          <w:p>
            <w:pPr>
              <w:pStyle w:val="TableText"/>
              <w:jc w:val="center"/>
            </w:pPr>
            <w:r/>
            <w:r>
              <w:rPr/>
              <w:t xml:space="preserve">0.88</w:t>
            </w:r>
          </w:p>
        </w:tc>
        <w:tc>
          <w:tcPr>
            <w:tcW w:type="dxa" w:w="1337"/>
          </w:tcPr>
          <w:p>
            <w:pPr>
              <w:pStyle w:val="TableText"/>
            </w:pPr>
            <w:r/>
            <w:r>
              <w:rPr>
                <w:i/>
              </w:rPr>
              <w:t xml:space="preserve">àn</w:t>
            </w:r>
          </w:p>
        </w:tc>
        <w:tc>
          <w:tcPr>
            <w:tcW w:type="dxa" w:w="1337"/>
          </w:tcPr>
          <w:p>
            <w:pPr>
              <w:pStyle w:val="TableText"/>
              <w:jc w:val="center"/>
            </w:pPr>
            <w:r/>
            <w:r>
              <w:rPr/>
              <w:t xml:space="preserve">0.62</w:t>
            </w:r>
          </w:p>
        </w:tc>
        <w:tc>
          <w:tcPr>
            <w:tcW w:type="dxa" w:w="1337"/>
          </w:tcPr>
          <w:p>
            <w:pPr>
              <w:pStyle w:val="TableText"/>
              <w:jc w:val="center"/>
            </w:pPr>
            <w:r/>
            <w:r>
              <w:rPr/>
              <w:t xml:space="preserve">0.55</w:t>
            </w:r>
          </w:p>
        </w:tc>
      </w:tr>
      <w:tr>
        <w:tc>
          <w:tcPr>
            <w:tcW w:type="dxa" w:w="1337"/>
          </w:tcPr>
          <w:p>
            <w:pPr>
              <w:pStyle w:val="TableText"/>
            </w:pPr>
            <w:r/>
            <w:r>
              <w:rPr/>
              <w:t xml:space="preserve">4</w:t>
            </w:r>
          </w:p>
        </w:tc>
        <w:tc>
          <w:tcPr>
            <w:tcW w:type="dxa" w:w="1337"/>
          </w:tcPr>
          <w:p>
            <w:pPr>
              <w:pStyle w:val="TableText"/>
            </w:pPr>
            <w:r/>
            <w:r>
              <w:rPr>
                <w:i/>
              </w:rPr>
              <w:t xml:space="preserve">sī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chě</w:t>
            </w:r>
          </w:p>
        </w:tc>
        <w:tc>
          <w:tcPr>
            <w:tcW w:type="dxa" w:w="1337"/>
          </w:tcPr>
          <w:p>
            <w:pPr>
              <w:pStyle w:val="TableText"/>
              <w:jc w:val="center"/>
            </w:pPr>
            <w:r/>
            <w:r>
              <w:rPr/>
              <w:t xml:space="preserve">0.38</w:t>
            </w:r>
          </w:p>
        </w:tc>
        <w:tc>
          <w:tcPr>
            <w:tcW w:type="dxa" w:w="1337"/>
          </w:tcPr>
          <w:p>
            <w:pPr>
              <w:pStyle w:val="TableText"/>
              <w:jc w:val="center"/>
            </w:pPr>
            <w:r/>
            <w:r>
              <w:rPr/>
              <w:t xml:space="preserve">0.33</w:t>
            </w:r>
          </w:p>
        </w:tc>
      </w:tr>
      <w:tr>
        <w:tc>
          <w:tcPr>
            <w:tcW w:type="dxa" w:w="1337"/>
          </w:tcPr>
          <w:p>
            <w:pPr>
              <w:pStyle w:val="TableText"/>
            </w:pPr>
            <w:r/>
            <w:r>
              <w:rPr/>
              <w:t xml:space="preserve">5</w:t>
            </w:r>
          </w:p>
        </w:tc>
        <w:tc>
          <w:tcPr>
            <w:tcW w:type="dxa" w:w="1337"/>
          </w:tcPr>
          <w:p>
            <w:pPr>
              <w:pStyle w:val="TableText"/>
            </w:pPr>
            <w:r/>
            <w:r>
              <w:rPr>
                <w:i/>
              </w:rPr>
              <w:t xml:space="preserve">chuī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huī</w:t>
            </w:r>
          </w:p>
        </w:tc>
        <w:tc>
          <w:tcPr>
            <w:tcW w:type="dxa" w:w="1337"/>
          </w:tcPr>
          <w:p>
            <w:pPr>
              <w:pStyle w:val="TableText"/>
              <w:jc w:val="center"/>
            </w:pPr>
            <w:r/>
            <w:r>
              <w:rPr/>
              <w:t xml:space="preserve">0.50</w:t>
            </w:r>
          </w:p>
        </w:tc>
        <w:tc>
          <w:tcPr>
            <w:tcW w:type="dxa" w:w="1337"/>
          </w:tcPr>
          <w:p>
            <w:pPr>
              <w:pStyle w:val="TableText"/>
              <w:jc w:val="center"/>
            </w:pPr>
            <w:r/>
            <w:r>
              <w:rPr/>
              <w:t xml:space="preserve">0.50</w:t>
            </w:r>
          </w:p>
        </w:tc>
      </w:tr>
      <w:tr>
        <w:tc>
          <w:tcPr>
            <w:tcW w:type="dxa" w:w="1337"/>
          </w:tcPr>
          <w:p>
            <w:pPr>
              <w:pStyle w:val="TableText"/>
            </w:pPr>
            <w:r/>
            <w:r>
              <w:rPr/>
              <w:t xml:space="preserve">6</w:t>
            </w:r>
          </w:p>
        </w:tc>
        <w:tc>
          <w:tcPr>
            <w:tcW w:type="dxa" w:w="1337"/>
          </w:tcPr>
          <w:p>
            <w:pPr>
              <w:pStyle w:val="TableText"/>
            </w:pPr>
            <w:r/>
            <w:r>
              <w:rPr>
                <w:i/>
              </w:rPr>
              <w:t xml:space="preserve">tī</w:t>
            </w:r>
          </w:p>
        </w:tc>
        <w:tc>
          <w:tcPr>
            <w:tcW w:type="dxa" w:w="1337"/>
          </w:tcPr>
          <w:p>
            <w:pPr>
              <w:pStyle w:val="TableText"/>
              <w:jc w:val="center"/>
            </w:pPr>
            <w:r/>
            <w:r>
              <w:rPr/>
              <w:t xml:space="preserve">0.75</w:t>
            </w:r>
          </w:p>
        </w:tc>
        <w:tc>
          <w:tcPr>
            <w:tcW w:type="dxa" w:w="1337"/>
          </w:tcPr>
          <w:p>
            <w:pPr>
              <w:pStyle w:val="TableText"/>
              <w:jc w:val="center"/>
            </w:pPr>
            <w:r/>
            <w:r>
              <w:rPr/>
              <w:t xml:space="preserve">0.70</w:t>
            </w:r>
          </w:p>
        </w:tc>
        <w:tc>
          <w:tcPr>
            <w:tcW w:type="dxa" w:w="1337"/>
          </w:tcPr>
          <w:p>
            <w:pPr>
              <w:pStyle w:val="TableText"/>
            </w:pPr>
            <w:r/>
            <w:r>
              <w:rPr>
                <w:i/>
              </w:rPr>
              <w:t xml:space="preserve">tuī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7ᵃ</w:t>
            </w:r>
          </w:p>
        </w:tc>
        <w:tc>
          <w:tcPr>
            <w:tcW w:type="dxa" w:w="1337"/>
          </w:tcPr>
          <w:p>
            <w:pPr>
              <w:pStyle w:val="TableText"/>
            </w:pPr>
            <w:r/>
            <w:r>
              <w:rPr>
                <w:i/>
              </w:rPr>
              <w:t xml:space="preserve">qiā</w:t>
            </w:r>
          </w:p>
        </w:tc>
        <w:tc>
          <w:tcPr>
            <w:tcW w:type="dxa" w:w="1337"/>
          </w:tcPr>
          <w:p>
            <w:pPr>
              <w:pStyle w:val="TableText"/>
              <w:jc w:val="center"/>
            </w:pPr>
            <w:r/>
            <w:r>
              <w:rPr/>
              <w:t xml:space="preserve">0.62</w:t>
            </w:r>
          </w:p>
        </w:tc>
        <w:tc>
          <w:tcPr>
            <w:tcW w:type="dxa" w:w="1337"/>
          </w:tcPr>
          <w:p>
            <w:pPr>
              <w:pStyle w:val="TableText"/>
              <w:jc w:val="center"/>
            </w:pPr>
            <w:r/>
            <w:r>
              <w:rPr/>
              <w:t xml:space="preserve">0.80</w:t>
            </w:r>
          </w:p>
        </w:tc>
        <w:tc>
          <w:tcPr>
            <w:tcW w:type="dxa" w:w="1337"/>
          </w:tcPr>
          <w:p>
            <w:pPr>
              <w:pStyle w:val="TableText"/>
            </w:pPr>
            <w:r/>
            <w:r>
              <w:rPr>
                <w:i/>
              </w:rPr>
              <w:t xml:space="preserve">jiào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8ᵃ</w:t>
            </w:r>
          </w:p>
        </w:tc>
        <w:tc>
          <w:tcPr>
            <w:tcW w:type="dxa" w:w="1337"/>
          </w:tcPr>
          <w:p>
            <w:pPr>
              <w:pStyle w:val="TableText"/>
            </w:pPr>
            <w:r/>
            <w:r>
              <w:rPr>
                <w:i/>
              </w:rPr>
              <w:t xml:space="preserve">tú</w:t>
            </w:r>
          </w:p>
        </w:tc>
        <w:tc>
          <w:tcPr>
            <w:tcW w:type="dxa" w:w="1337"/>
          </w:tcPr>
          <w:p>
            <w:pPr>
              <w:pStyle w:val="TableText"/>
              <w:jc w:val="center"/>
            </w:pPr>
            <w:r/>
            <w:r>
              <w:rPr/>
              <w:t xml:space="preserve">0.88</w:t>
            </w:r>
          </w:p>
        </w:tc>
        <w:tc>
          <w:tcPr>
            <w:tcW w:type="dxa" w:w="1337"/>
          </w:tcPr>
          <w:p>
            <w:pPr>
              <w:pStyle w:val="TableText"/>
              <w:jc w:val="center"/>
            </w:pPr>
            <w:r/>
            <w:r>
              <w:rPr/>
              <w:t xml:space="preserve">0.89</w:t>
            </w:r>
          </w:p>
        </w:tc>
        <w:tc>
          <w:tcPr>
            <w:tcW w:type="dxa" w:w="1337"/>
          </w:tcPr>
          <w:p>
            <w:pPr>
              <w:pStyle w:val="TableText"/>
            </w:pPr>
            <w:r/>
            <w:r>
              <w:rPr>
                <w:i/>
              </w:rPr>
              <w:t xml:space="preserve">náo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9</w:t>
            </w:r>
          </w:p>
        </w:tc>
        <w:tc>
          <w:tcPr>
            <w:tcW w:type="dxa" w:w="1337"/>
          </w:tcPr>
          <w:p>
            <w:pPr>
              <w:pStyle w:val="TableText"/>
            </w:pPr>
            <w:r/>
            <w:r>
              <w:rPr>
                <w:i/>
              </w:rPr>
              <w:t xml:space="preserve">cā</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chōng</w:t>
            </w:r>
          </w:p>
        </w:tc>
        <w:tc>
          <w:tcPr>
            <w:tcW w:type="dxa" w:w="1337"/>
          </w:tcPr>
          <w:p>
            <w:pPr>
              <w:pStyle w:val="TableText"/>
              <w:jc w:val="center"/>
            </w:pPr>
            <w:r/>
            <w:r>
              <w:rPr/>
              <w:t xml:space="preserve">0.75</w:t>
            </w:r>
          </w:p>
        </w:tc>
        <w:tc>
          <w:tcPr>
            <w:tcW w:type="dxa" w:w="1337"/>
          </w:tcPr>
          <w:p>
            <w:pPr>
              <w:pStyle w:val="TableText"/>
              <w:jc w:val="center"/>
            </w:pPr>
            <w:r/>
            <w:r>
              <w:rPr/>
              <w:t xml:space="preserve">0.73</w:t>
            </w:r>
          </w:p>
        </w:tc>
      </w:tr>
      <w:tr>
        <w:tc>
          <w:tcPr>
            <w:tcW w:type="dxa" w:w="1337"/>
          </w:tcPr>
          <w:p>
            <w:pPr>
              <w:pStyle w:val="TableText"/>
            </w:pPr>
            <w:r/>
            <w:r>
              <w:rPr/>
              <w:t xml:space="preserve">10</w:t>
            </w:r>
          </w:p>
        </w:tc>
        <w:tc>
          <w:tcPr>
            <w:tcW w:type="dxa" w:w="1337"/>
          </w:tcPr>
          <w:p>
            <w:pPr>
              <w:pStyle w:val="TableText"/>
            </w:pPr>
            <w:r/>
            <w:r>
              <w:rPr>
                <w:i/>
              </w:rPr>
              <w:t xml:space="preserve">jiā</w:t>
            </w:r>
          </w:p>
        </w:tc>
        <w:tc>
          <w:tcPr>
            <w:tcW w:type="dxa" w:w="1337"/>
          </w:tcPr>
          <w:p>
            <w:pPr>
              <w:pStyle w:val="TableText"/>
              <w:jc w:val="center"/>
            </w:pPr>
            <w:r/>
            <w:r>
              <w:rPr/>
              <w:t xml:space="preserve">0.62</w:t>
            </w:r>
          </w:p>
        </w:tc>
        <w:tc>
          <w:tcPr>
            <w:tcW w:type="dxa" w:w="1337"/>
          </w:tcPr>
          <w:p>
            <w:pPr>
              <w:pStyle w:val="TableText"/>
              <w:jc w:val="center"/>
            </w:pPr>
            <w:r/>
            <w:r>
              <w:rPr/>
              <w:t xml:space="preserve">0.64</w:t>
            </w:r>
          </w:p>
        </w:tc>
        <w:tc>
          <w:tcPr>
            <w:tcW w:type="dxa" w:w="1337"/>
          </w:tcPr>
          <w:p>
            <w:pPr>
              <w:pStyle w:val="TableText"/>
            </w:pPr>
            <w:r/>
            <w:r>
              <w:rPr>
                <w:i/>
              </w:rPr>
              <w:t xml:space="preserve">chuí</w:t>
            </w:r>
          </w:p>
        </w:tc>
        <w:tc>
          <w:tcPr>
            <w:tcW w:type="dxa" w:w="1337"/>
          </w:tcPr>
          <w:p>
            <w:pPr>
              <w:pStyle w:val="TableText"/>
              <w:jc w:val="center"/>
            </w:pPr>
            <w:r/>
            <w:r>
              <w:rPr/>
              <w:t xml:space="preserve">0.38</w:t>
            </w:r>
          </w:p>
        </w:tc>
        <w:tc>
          <w:tcPr>
            <w:tcW w:type="dxa" w:w="1337"/>
          </w:tcPr>
          <w:p>
            <w:pPr>
              <w:pStyle w:val="TableText"/>
              <w:jc w:val="center"/>
            </w:pPr>
            <w:r/>
            <w:r>
              <w:rPr/>
              <w:t xml:space="preserve">0.36</w:t>
            </w:r>
          </w:p>
        </w:tc>
      </w:tr>
    </w:tbl>
    <w:p w14:paraId="461146B5" w14:textId="764D5272" w:rsidR="009D4CF3" w:rsidRPr="0055050F" w:rsidRDefault="00000000">
      <w:pPr>
        <w:pStyle w:val="TableNote"/>
        <w:rPr>
          <w:rFonts w:eastAsiaTheme="minorEastAsia"/>
        </w:rPr>
      </w:pPr>
      <w:r>
        <w:rPr>
          <w:i/>
        </w:rPr>
        <w:t xml:space="preserve">Note.</w:t>
      </w:r>
      <w:r>
        <w:rPr/>
        <w:t xml:space="preserve"> First = proportion of participants whose first description contained the intended V1; All = proportion of all descriptions, including those given on request, that contained the intended V1 (</w:t>
      </w:r>
      <w:r>
        <w:rPr>
          <w:i/>
        </w:rPr>
        <w:t xml:space="preserve">n</w:t>
      </w:r>
      <w:r>
        <w:rPr/>
        <w:t xml:space="preserve"> = 8 participants per video). The All values are used as the covariate in the sensitivity analysis of Experiment 1. ᵃ Excluded from the analyses of Experiment 1.</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E1366" w14:textId="77777777" w:rsidR="00B73982" w:rsidRDefault="00B73982">
      <w:r>
        <w:separator/>
      </w:r>
    </w:p>
  </w:endnote>
  <w:endnote w:type="continuationSeparator" w:id="0">
    <w:p w14:paraId="3B1032FC" w14:textId="77777777" w:rsidR="00B73982" w:rsidRDefault="00B7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FE21" w14:textId="77777777" w:rsidR="00B73982" w:rsidRDefault="00B73982">
      <w:r>
        <w:separator/>
      </w:r>
    </w:p>
  </w:footnote>
  <w:footnote w:type="continuationSeparator" w:id="0">
    <w:p w14:paraId="1A253E35" w14:textId="77777777" w:rsidR="00B73982" w:rsidRDefault="00B73982">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055864"/>
    <w:rsid w:val="0018398A"/>
    <w:rsid w:val="00197B71"/>
    <w:rsid w:val="002014B3"/>
    <w:rsid w:val="003A3050"/>
    <w:rsid w:val="003B797C"/>
    <w:rsid w:val="00447DD2"/>
    <w:rsid w:val="00477123"/>
    <w:rsid w:val="004B1F49"/>
    <w:rsid w:val="004C3895"/>
    <w:rsid w:val="0054146F"/>
    <w:rsid w:val="0055050F"/>
    <w:rsid w:val="0055310B"/>
    <w:rsid w:val="005B1EF1"/>
    <w:rsid w:val="005B6138"/>
    <w:rsid w:val="005E64BA"/>
    <w:rsid w:val="005F1988"/>
    <w:rsid w:val="00621C6F"/>
    <w:rsid w:val="006B7B7E"/>
    <w:rsid w:val="00706240"/>
    <w:rsid w:val="00782C6A"/>
    <w:rsid w:val="008215DC"/>
    <w:rsid w:val="0086069B"/>
    <w:rsid w:val="009B1284"/>
    <w:rsid w:val="009D4CF3"/>
    <w:rsid w:val="009F5C76"/>
    <w:rsid w:val="00B0633F"/>
    <w:rsid w:val="00B64FC7"/>
    <w:rsid w:val="00B73982"/>
    <w:rsid w:val="00C3541B"/>
    <w:rsid w:val="00C37B3C"/>
    <w:rsid w:val="00C77721"/>
    <w:rsid w:val="00D331C0"/>
    <w:rsid w:val="00D95BC4"/>
    <w:rsid w:val="00DF4AE6"/>
    <w:rsid w:val="00E31FDC"/>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34</Pages>
  <Words>9489</Words>
  <Characters>54093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5</cp:revision>
  <dcterms:created xsi:type="dcterms:W3CDTF">2026-10-14T04:12:00Z</dcterms:created>
  <dcterms:modified xsi:type="dcterms:W3CDTF">2026-10-15T06:16:00Z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