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Mandarin-Speaking Children’s Interpretation and Expression of Actions and Results: Evidence From Resultative Verb Compounds and Monomorphemic V1s</w:t>
      </w:r>
    </w:p>
    <w:p>
      <w:pPr>
        <w:spacing w:after="0" w:before="0" w:line="480"/>
        <w:ind w:firstLine="720"/>
      </w:pPr>
      <w:r>
        <w:rPr>
          <w:rFonts w:ascii="Times New Roman" w:cs="Times New Roman" w:eastAsia="Times New Roman" w:hAnsi="Times New Roman"/>
          <w:sz w:val="24"/>
          <w:szCs w:val="24"/>
        </w:rPr>
        <w:t xml:space="preserve">Describing an event involves identifying what someone did and whether that action brought about a particular result. Someone can squeeze a lychee without getting it open, or wipe a mirror without getting it clean. To talk about such events, children must learn what different expressions commit a speaker to with respect to the result, and which information to express when they describe an event themselves.</w:t>
      </w:r>
    </w:p>
    <w:p>
      <w:pPr>
        <w:spacing w:after="0" w:before="0" w:line="480"/>
        <w:ind w:firstLine="720"/>
      </w:pPr>
      <w:r>
        <w:rPr>
          <w:rFonts w:ascii="Times New Roman" w:cs="Times New Roman" w:eastAsia="Times New Roman" w:hAnsi="Times New Roman"/>
          <w:sz w:val="24"/>
          <w:szCs w:val="24"/>
        </w:rPr>
        <w:t xml:space="preserve">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pPr>
        <w:keepNext/>
        <w:tabs>
          <w:tab w:val="left" w:pos="720"/>
          <w:tab w:val="left" w:pos="1260"/>
        </w:tabs>
        <w:spacing w:after="0" w:before="240" w:line="240"/>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a.	</w:t>
      </w:r>
      <w:r>
        <w:rPr>
          <w:rFonts w:ascii="Times New Roman" w:cs="Times New Roman" w:eastAsia="Times New Roman" w:hAnsi="Times New Roman"/>
          <w:i/>
          <w:iCs/>
          <w:sz w:val="24"/>
          <w:szCs w:val="24"/>
        </w:rPr>
        <w:t xml:space="preserve">Tā bāo-kāi-le lìzhī.</w:t>
      </w:r>
    </w:p>
    <w:p>
      <w:pPr>
        <w:keepNext/>
        <w:tabs>
          <w:tab w:val="left" w:pos="720"/>
          <w:tab w:val="left" w:pos="1260"/>
        </w:tabs>
        <w:spacing w:after="0" w:before="0" w:line="240"/>
      </w:pPr>
      <w:r>
        <w:rPr>
          <w:rFonts w:ascii="Times New Roman" w:cs="Times New Roman" w:eastAsia="Times New Roman" w:hAnsi="Times New Roman"/>
          <w:sz w:val="24"/>
          <w:szCs w:val="24"/>
        </w:rPr>
        <w:t xml:space="preserve">		she peel-open-PERF lychee</w:t>
      </w:r>
    </w:p>
    <w:p>
      <w:pPr>
        <w:tabs>
          <w:tab w:val="left" w:pos="720"/>
          <w:tab w:val="left" w:pos="1260"/>
        </w:tabs>
        <w:spacing w:after="240" w:before="0" w:line="240"/>
      </w:pPr>
      <w:r>
        <w:rPr>
          <w:rFonts w:ascii="Times New Roman" w:cs="Times New Roman" w:eastAsia="Times New Roman" w:hAnsi="Times New Roman"/>
          <w:sz w:val="24"/>
          <w:szCs w:val="24"/>
        </w:rPr>
        <w:t xml:space="preserve">		“She peeled the lychee open.”</w:t>
      </w:r>
    </w:p>
    <w:p>
      <w:pPr>
        <w:keepNext/>
        <w:tabs>
          <w:tab w:val="left" w:pos="720"/>
          <w:tab w:val="left" w:pos="1260"/>
        </w:tabs>
        <w:spacing w:after="0" w:before="0" w:line="2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b.	</w:t>
      </w:r>
      <w:r>
        <w:rPr>
          <w:rFonts w:ascii="Times New Roman" w:cs="Times New Roman" w:eastAsia="Times New Roman" w:hAnsi="Times New Roman"/>
          <w:i/>
          <w:iCs/>
          <w:sz w:val="24"/>
          <w:szCs w:val="24"/>
        </w:rPr>
        <w:t xml:space="preserve">Tā bāo-le lìzhī.</w:t>
      </w:r>
    </w:p>
    <w:p>
      <w:pPr>
        <w:keepNext/>
        <w:tabs>
          <w:tab w:val="left" w:pos="720"/>
          <w:tab w:val="left" w:pos="1260"/>
        </w:tabs>
        <w:spacing w:after="0" w:before="0" w:line="240"/>
      </w:pPr>
      <w:r>
        <w:rPr>
          <w:rFonts w:ascii="Times New Roman" w:cs="Times New Roman" w:eastAsia="Times New Roman" w:hAnsi="Times New Roman"/>
          <w:sz w:val="24"/>
          <w:szCs w:val="24"/>
        </w:rPr>
        <w:t xml:space="preserve">		she peel-PERF lychee</w:t>
      </w:r>
    </w:p>
    <w:p>
      <w:pPr>
        <w:tabs>
          <w:tab w:val="left" w:pos="720"/>
          <w:tab w:val="left" w:pos="1260"/>
        </w:tabs>
        <w:spacing w:after="240" w:before="0" w:line="240"/>
      </w:pPr>
      <w:r>
        <w:rPr>
          <w:rFonts w:ascii="Times New Roman" w:cs="Times New Roman" w:eastAsia="Times New Roman" w:hAnsi="Times New Roman"/>
          <w:sz w:val="24"/>
          <w:szCs w:val="24"/>
        </w:rPr>
        <w:t xml:space="preserve">		“She peeled the lychee.”</w:t>
      </w:r>
    </w:p>
    <w:p>
      <w:pPr>
        <w:spacing w:after="0" w:before="0" w:line="480"/>
        <w:ind w:firstLine="720"/>
      </w:pPr>
      <w:r>
        <w:rPr>
          <w:rFonts w:ascii="Times New Roman" w:cs="Times New Roman" w:eastAsia="Times New Roman" w:hAnsi="Times New Roman"/>
          <w:sz w:val="24"/>
          <w:szCs w:val="24"/>
        </w:rPr>
        <w:t xml:space="preserve">For many Mandarin monomorphemic verbs, the result is not entailed. Tai (1984) observed that </w:t>
      </w:r>
      <w:r>
        <w:rPr>
          <w:rFonts w:ascii="Times New Roman" w:cs="Times New Roman" w:eastAsia="Times New Roman" w:hAnsi="Times New Roman"/>
          <w:i/>
          <w:iCs/>
          <w:sz w:val="24"/>
          <w:szCs w:val="24"/>
        </w:rPr>
        <w:t xml:space="preserve">shā</w:t>
      </w:r>
      <w:r>
        <w:rPr>
          <w:rFonts w:ascii="Times New Roman" w:cs="Times New Roman" w:eastAsia="Times New Roman" w:hAnsi="Times New Roman"/>
          <w:sz w:val="24"/>
          <w:szCs w:val="24"/>
        </w:rPr>
        <w:t xml:space="preserve"> “kill” can be used of an event in which the victim did not die, whereas the corresponding RVC </w:t>
      </w:r>
      <w:r>
        <w:rPr>
          <w:rFonts w:ascii="Times New Roman" w:cs="Times New Roman" w:eastAsia="Times New Roman" w:hAnsi="Times New Roman"/>
          <w:i/>
          <w:iCs/>
          <w:sz w:val="24"/>
          <w:szCs w:val="24"/>
        </w:rPr>
        <w:t xml:space="preserve">shā-sǐ</w:t>
      </w:r>
      <w:r>
        <w:rPr>
          <w:rFonts w:ascii="Times New Roman" w:cs="Times New Roman" w:eastAsia="Times New Roman" w:hAnsi="Times New Roman"/>
          <w:sz w:val="24"/>
          <w:szCs w:val="24"/>
        </w:rPr>
        <w:t xml:space="preserve"> “kill-dead” cannot, and Talmy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rFonts w:ascii="Times New Roman" w:cs="Times New Roman" w:eastAsia="Times New Roman" w:hAnsi="Times New Roman"/>
          <w:i/>
          <w:iCs/>
          <w:sz w:val="24"/>
          <w:szCs w:val="24"/>
        </w:rPr>
        <w:t xml:space="preserve">culminated</w:t>
      </w:r>
      <w:r>
        <w:rPr>
          <w:rFonts w:ascii="Times New Roman" w:cs="Times New Roman" w:eastAsia="Times New Roman" w:hAnsi="Times New Roman"/>
          <w:sz w:val="24"/>
          <w:szCs w:val="24"/>
        </w:rPr>
        <w:t xml:space="preserve">. Because this culmination inference is not entailed, it can be cancelled by further information (J. Liu et al., 2026).</w:t>
      </w:r>
      <w:r>
        <w:rPr>
          <w:rStyle w:val="FootnoteReference"/>
        </w:rPr>
        <w:footnoteReference w:id="1"/>
      </w:r>
      <w:r>
        <w:rPr>
          <w:rFonts w:ascii="Times New Roman" w:cs="Times New Roman" w:eastAsia="Times New Roman" w:hAnsi="Times New Roman"/>
          <w:sz w:val="24"/>
          <w:szCs w:val="24"/>
        </w:rPr>
        <w:t xml:space="preserve"> RVCs and their V1s therefore differ in whether the result is entailed or only inferred, and this difference becomes observable when an action is performed but its result is not attained.</w:t>
      </w:r>
    </w:p>
    <w:p>
      <w:pPr>
        <w:keepNext/>
        <w:tabs>
          <w:tab w:val="left" w:pos="720"/>
          <w:tab w:val="left" w:pos="1260"/>
        </w:tabs>
        <w:spacing w:after="0" w:before="240" w:line="240"/>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	</w:t>
      </w:r>
      <w:r>
        <w:rPr>
          <w:rFonts w:ascii="Times New Roman" w:cs="Times New Roman" w:eastAsia="Times New Roman" w:hAnsi="Times New Roman"/>
          <w:i/>
          <w:iCs/>
          <w:sz w:val="24"/>
          <w:szCs w:val="24"/>
        </w:rPr>
        <w:t xml:space="preserve">Tā xiū-le diànnǎo, dàn méi xiū-hǎo.</w:t>
      </w:r>
    </w:p>
    <w:p>
      <w:pPr>
        <w:keepNext/>
        <w:tabs>
          <w:tab w:val="left" w:pos="720"/>
          <w:tab w:val="left" w:pos="1260"/>
        </w:tabs>
        <w:spacing w:after="0" w:before="0" w:line="240"/>
      </w:pPr>
      <w:r>
        <w:rPr>
          <w:rFonts w:ascii="Times New Roman" w:cs="Times New Roman" w:eastAsia="Times New Roman" w:hAnsi="Times New Roman"/>
          <w:sz w:val="24"/>
          <w:szCs w:val="24"/>
        </w:rPr>
        <w:t xml:space="preserve">		he fix-PERF computer but NEG fix-good</w:t>
      </w:r>
    </w:p>
    <w:p>
      <w:pPr>
        <w:tabs>
          <w:tab w:val="left" w:pos="720"/>
          <w:tab w:val="left" w:pos="1260"/>
        </w:tabs>
        <w:spacing w:after="240" w:before="0" w:line="240"/>
      </w:pPr>
      <w:r>
        <w:rPr>
          <w:rFonts w:ascii="Times New Roman" w:cs="Times New Roman" w:eastAsia="Times New Roman" w:hAnsi="Times New Roman"/>
          <w:sz w:val="24"/>
          <w:szCs w:val="24"/>
        </w:rPr>
        <w:t xml:space="preserve">		“He fixed the computer, but it is still not working.”</w:t>
      </w:r>
    </w:p>
    <w:p>
      <w:pPr>
        <w:keepNext/>
        <w:tabs>
          <w:tab w:val="left" w:pos="720"/>
          <w:tab w:val="left" w:pos="1260"/>
        </w:tabs>
        <w:spacing w:after="0" w:before="0" w:line="24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b.	</w:t>
      </w:r>
      <w:r>
        <w:rPr>
          <w:rFonts w:ascii="Times New Roman" w:cs="Times New Roman" w:eastAsia="Times New Roman" w:hAnsi="Times New Roman"/>
          <w:i/>
          <w:iCs/>
          <w:sz w:val="24"/>
          <w:szCs w:val="24"/>
        </w:rPr>
        <w:t xml:space="preserve">#Tā xiū-hǎo-le diànnǎo, dàn méi xiū-hǎo.</w:t>
      </w:r>
    </w:p>
    <w:p>
      <w:pPr>
        <w:keepNext/>
        <w:tabs>
          <w:tab w:val="left" w:pos="720"/>
          <w:tab w:val="left" w:pos="1260"/>
        </w:tabs>
        <w:spacing w:after="0" w:before="0" w:line="240"/>
      </w:pPr>
      <w:r>
        <w:rPr>
          <w:rFonts w:ascii="Times New Roman" w:cs="Times New Roman" w:eastAsia="Times New Roman" w:hAnsi="Times New Roman"/>
          <w:sz w:val="24"/>
          <w:szCs w:val="24"/>
        </w:rPr>
        <w:t xml:space="preserve">		he fix-good-PERF computer but NEG fix-good</w:t>
      </w:r>
    </w:p>
    <w:p>
      <w:pPr>
        <w:tabs>
          <w:tab w:val="left" w:pos="720"/>
          <w:tab w:val="left" w:pos="1260"/>
        </w:tabs>
        <w:spacing w:after="240" w:before="0" w:line="240"/>
      </w:pPr>
      <w:r>
        <w:rPr>
          <w:rFonts w:ascii="Times New Roman" w:cs="Times New Roman" w:eastAsia="Times New Roman" w:hAnsi="Times New Roman"/>
          <w:sz w:val="24"/>
          <w:szCs w:val="24"/>
        </w:rPr>
        <w:t xml:space="preserve">		“#He fixed the computer so that it worked, but it is still not working.”</w:t>
      </w:r>
    </w:p>
    <w:p>
      <w:pPr>
        <w:spacing w:after="0" w:before="0" w:line="480"/>
        <w:ind w:firstLine="720"/>
      </w:pPr>
      <w:r>
        <w:rPr>
          <w:rFonts w:ascii="Times New Roman" w:cs="Times New Roman" w:eastAsia="Times New Roman" w:hAnsi="Times New Roman"/>
          <w:sz w:val="24"/>
          <w:szCs w:val="24"/>
        </w:rP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Whether a child accepts a V1 description of an unattained result may therefore depend on which V1 is used and on how that action is related to the result in question.</w:t>
      </w:r>
    </w:p>
    <w:p>
      <w:pPr>
        <w:spacing w:after="0" w:before="0" w:line="480"/>
        <w:ind w:firstLine="720"/>
      </w:pPr>
      <w:r>
        <w:rPr>
          <w:rFonts w:ascii="Times New Roman" w:cs="Times New Roman" w:eastAsia="Times New Roman" w:hAnsi="Times New Roman"/>
          <w:sz w:val="24"/>
          <w:szCs w:val="24"/>
        </w:rPr>
        <w:t xml:space="preserve">The present study examines Mandarin-speaking 4- and 5-year-olds’ interpretation and production of RVCs and monomorphemic V1s, with adults tested as a reference group. It compares RVC and V1 descriptions of events in which a target result is either attained or not, and it compares V1s that share an object and a target result but were selected to differ in how strongly they are associated with that result. To verify and characterize this difference, adults rated each V1–object expression for </w:t>
      </w:r>
      <w:r>
        <w:rPr>
          <w:rFonts w:ascii="Times New Roman" w:cs="Times New Roman" w:eastAsia="Times New Roman" w:hAnsi="Times New Roman"/>
          <w:i/>
          <w:iCs/>
          <w:sz w:val="24"/>
          <w:szCs w:val="24"/>
        </w:rPr>
        <w:t xml:space="preserve">result likelihood</w:t>
      </w:r>
      <w:r>
        <w:rPr>
          <w:rFonts w:ascii="Times New Roman" w:cs="Times New Roman" w:eastAsia="Times New Roman" w:hAnsi="Times New Roman"/>
          <w:sz w:val="24"/>
          <w:szCs w:val="24"/>
        </w:rPr>
        <w:t xml:space="preserve">, how likely the target result is to follow the action, and </w:t>
      </w:r>
      <w:r>
        <w:rPr>
          <w:rFonts w:ascii="Times New Roman" w:cs="Times New Roman" w:eastAsia="Times New Roman" w:hAnsi="Times New Roman"/>
          <w:i/>
          <w:iCs/>
          <w:sz w:val="24"/>
          <w:szCs w:val="24"/>
        </w:rPr>
        <w:t xml:space="preserve">action typicality</w:t>
      </w:r>
      <w:r>
        <w:rPr>
          <w:rFonts w:ascii="Times New Roman" w:cs="Times New Roman" w:eastAsia="Times New Roman" w:hAnsi="Times New Roman"/>
          <w:sz w:val="24"/>
          <w:szCs w:val="24"/>
        </w:rPr>
        <w:t xml:space="preserve">, how typical the action is as a means of achieving that result. We first review what constrains the combination of V1 and V2 in RVCs, then explain why existing classifications of monomorphemic V1s leave the relation between a V1 and a particular result underspecified and how result likelihood and action typicality characterize it. We then review children’s comprehension and production of RVCs and V1s and present the research questions and predictions.</w:t>
      </w:r>
    </w:p>
    <w:p>
      <w:pPr>
        <w:spacing w:after="0" w:before="0" w:line="480"/>
      </w:pPr>
      <w:r>
        <w:rPr>
          <w:rFonts w:ascii="Times New Roman" w:cs="Times New Roman" w:eastAsia="Times New Roman" w:hAnsi="Times New Roman"/>
          <w:b/>
          <w:bCs/>
          <w:sz w:val="24"/>
          <w:szCs w:val="24"/>
        </w:rPr>
        <w:t xml:space="preserve">V1–V2 Combination in Mandarin RVCs</w:t>
      </w:r>
    </w:p>
    <w:p>
      <w:pPr>
        <w:spacing w:after="0" w:before="0" w:line="480"/>
        <w:ind w:firstLine="720"/>
      </w:pPr>
      <w:r>
        <w:rPr>
          <w:rFonts w:ascii="Times New Roman" w:cs="Times New Roman" w:eastAsia="Times New Roman" w:hAnsi="Times New Roman"/>
          <w:sz w:val="24"/>
          <w:szCs w:val="24"/>
        </w:rPr>
        <w:t xml:space="preserve">Prior work on RVCs bears on two properties of V1 that are relevant here: which V1s can enter RVCs and what constrains their combination with V2.</w:t>
      </w:r>
    </w:p>
    <w:p>
      <w:pPr>
        <w:spacing w:after="0" w:before="0" w:line="480"/>
        <w:ind w:firstLine="720"/>
      </w:pPr>
      <w:r>
        <w:rPr>
          <w:rFonts w:ascii="Times New Roman" w:cs="Times New Roman" w:eastAsia="Times New Roman" w:hAnsi="Times New Roman"/>
          <w:sz w:val="24"/>
          <w:szCs w:val="24"/>
        </w:rPr>
        <w:t xml:space="preserve">First, the V1 of an RVC is not restricted to transitive activity verbs; Huang (2006), for example, analyzes resultatives with unergative V1s. Membership in a verb class therefore does not by itself determine which compounds exist. The present study is restricted to agentive transitive RVCs in which V2 predicates a resulting state of the object, which keeps the action–result–participant configuration comparable across materials.</w:t>
      </w:r>
    </w:p>
    <w:p>
      <w:pPr>
        <w:spacing w:after="0" w:before="0" w:line="480"/>
        <w:ind w:firstLine="720"/>
      </w:pPr>
      <w:r>
        <w:rPr>
          <w:rFonts w:ascii="Times New Roman" w:cs="Times New Roman" w:eastAsia="Times New Roman" w:hAnsi="Times New Roman"/>
          <w:sz w:val="24"/>
          <w:szCs w:val="24"/>
        </w:rPr>
        <w:t xml:space="preserve">Second, V1–V2 combination is constrained by the relation between the two components. Li (1990, 1995) derives the argument structure of V–V compounds from the thematic properties of V1 and V2 and from the interaction of thematic and causative hierarchies. Han (2021) analyzes V1–V2 sentences as describing a force exerted by one entity on another: V1 names the action through which the force is realized, and V2 names the result state of the affected entity. On either account, whether a compound is possible depends on how a particular V1 relates to a particular result. Correspondingly, the same V1 can combine with different V2s and the same V2 with different V1s: </w:t>
      </w:r>
      <w:r>
        <w:rPr>
          <w:rFonts w:ascii="Times New Roman" w:cs="Times New Roman" w:eastAsia="Times New Roman" w:hAnsi="Times New Roman"/>
          <w:i/>
          <w:iCs/>
          <w:sz w:val="24"/>
          <w:szCs w:val="24"/>
        </w:rPr>
        <w:t xml:space="preserve">tī</w:t>
      </w:r>
      <w:r>
        <w:rPr>
          <w:rFonts w:ascii="Times New Roman" w:cs="Times New Roman" w:eastAsia="Times New Roman" w:hAnsi="Times New Roman"/>
          <w:sz w:val="24"/>
          <w:szCs w:val="24"/>
        </w:rPr>
        <w:t xml:space="preserve"> “kick” forms both </w:t>
      </w:r>
      <w:r>
        <w:rPr>
          <w:rFonts w:ascii="Times New Roman" w:cs="Times New Roman" w:eastAsia="Times New Roman" w:hAnsi="Times New Roman"/>
          <w:i/>
          <w:iCs/>
          <w:sz w:val="24"/>
          <w:szCs w:val="24"/>
        </w:rPr>
        <w:t xml:space="preserve">tī-dǎo</w:t>
      </w:r>
      <w:r>
        <w:rPr>
          <w:rFonts w:ascii="Times New Roman" w:cs="Times New Roman" w:eastAsia="Times New Roman" w:hAnsi="Times New Roman"/>
          <w:sz w:val="24"/>
          <w:szCs w:val="24"/>
        </w:rPr>
        <w:t xml:space="preserve"> “kick-fallen” and </w:t>
      </w:r>
      <w:r>
        <w:rPr>
          <w:rFonts w:ascii="Times New Roman" w:cs="Times New Roman" w:eastAsia="Times New Roman" w:hAnsi="Times New Roman"/>
          <w:i/>
          <w:iCs/>
          <w:sz w:val="24"/>
          <w:szCs w:val="24"/>
        </w:rPr>
        <w:t xml:space="preserve">tī-kāi</w:t>
      </w:r>
      <w:r>
        <w:rPr>
          <w:rFonts w:ascii="Times New Roman" w:cs="Times New Roman" w:eastAsia="Times New Roman" w:hAnsi="Times New Roman"/>
          <w:sz w:val="24"/>
          <w:szCs w:val="24"/>
        </w:rPr>
        <w:t xml:space="preserve"> “kick-open,” and </w:t>
      </w:r>
      <w:r>
        <w:rPr>
          <w:rFonts w:ascii="Times New Roman" w:cs="Times New Roman" w:eastAsia="Times New Roman" w:hAnsi="Times New Roman"/>
          <w:i/>
          <w:iCs/>
          <w:sz w:val="24"/>
          <w:szCs w:val="24"/>
        </w:rPr>
        <w:t xml:space="preserve">miè</w:t>
      </w:r>
      <w:r>
        <w:rPr>
          <w:rFonts w:ascii="Times New Roman" w:cs="Times New Roman" w:eastAsia="Times New Roman" w:hAnsi="Times New Roman"/>
          <w:sz w:val="24"/>
          <w:szCs w:val="24"/>
        </w:rPr>
        <w:t xml:space="preserve"> “extinguished” follows both </w:t>
      </w:r>
      <w:r>
        <w:rPr>
          <w:rFonts w:ascii="Times New Roman" w:cs="Times New Roman" w:eastAsia="Times New Roman" w:hAnsi="Times New Roman"/>
          <w:i/>
          <w:iCs/>
          <w:sz w:val="24"/>
          <w:szCs w:val="24"/>
        </w:rPr>
        <w:t xml:space="preserve">chuī</w:t>
      </w:r>
      <w:r>
        <w:rPr>
          <w:rFonts w:ascii="Times New Roman" w:cs="Times New Roman" w:eastAsia="Times New Roman" w:hAnsi="Times New Roman"/>
          <w:sz w:val="24"/>
          <w:szCs w:val="24"/>
        </w:rPr>
        <w:t xml:space="preserve"> “blow” and </w:t>
      </w:r>
      <w:r>
        <w:rPr>
          <w:rFonts w:ascii="Times New Roman" w:cs="Times New Roman" w:eastAsia="Times New Roman" w:hAnsi="Times New Roman"/>
          <w:i/>
          <w:iCs/>
          <w:sz w:val="24"/>
          <w:szCs w:val="24"/>
        </w:rPr>
        <w:t xml:space="preserve">huī</w:t>
      </w:r>
      <w:r>
        <w:rPr>
          <w:rFonts w:ascii="Times New Roman" w:cs="Times New Roman" w:eastAsia="Times New Roman" w:hAnsi="Times New Roman"/>
          <w:sz w:val="24"/>
          <w:szCs w:val="24"/>
        </w:rPr>
        <w:t xml:space="preserve"> “wave.”</w:t>
      </w:r>
    </w:p>
    <w:p>
      <w:pPr>
        <w:spacing w:after="0" w:before="0" w:line="480"/>
      </w:pPr>
      <w:r>
        <w:rPr>
          <w:rFonts w:ascii="Times New Roman" w:cs="Times New Roman" w:eastAsia="Times New Roman" w:hAnsi="Times New Roman"/>
          <w:b/>
          <w:bCs/>
          <w:sz w:val="24"/>
          <w:szCs w:val="24"/>
        </w:rPr>
        <w:t xml:space="preserve">Monomorphemic V1s: Classification, Result Likelihood, and Action Typicality</w:t>
      </w:r>
    </w:p>
    <w:p>
      <w:pPr>
        <w:spacing w:after="0" w:before="0" w:line="480"/>
        <w:ind w:firstLine="720"/>
      </w:pPr>
      <w:r>
        <w:rPr>
          <w:rFonts w:ascii="Times New Roman" w:cs="Times New Roman" w:eastAsia="Times New Roman" w:hAnsi="Times New Roman"/>
          <w:sz w:val="24"/>
          <w:szCs w:val="24"/>
        </w:rPr>
        <w:t xml:space="preserve">What a V1 conveys about a result on its own has been characterized in ways that do not align. Mandarin monomorphemic verbs such as </w:t>
      </w:r>
      <w:r>
        <w:rPr>
          <w:rFonts w:ascii="Times New Roman" w:cs="Times New Roman" w:eastAsia="Times New Roman" w:hAnsi="Times New Roman"/>
          <w:i/>
          <w:iCs/>
          <w:sz w:val="24"/>
          <w:szCs w:val="24"/>
        </w:rPr>
        <w:t xml:space="preserve">shā</w:t>
      </w:r>
      <w:r>
        <w:rPr>
          <w:rFonts w:ascii="Times New Roman" w:cs="Times New Roman" w:eastAsia="Times New Roman" w:hAnsi="Times New Roman"/>
          <w:sz w:val="24"/>
          <w:szCs w:val="24"/>
        </w:rPr>
        <w:t xml:space="preserve"> “kill” and </w:t>
      </w:r>
      <w:r>
        <w:rPr>
          <w:rFonts w:ascii="Times New Roman" w:cs="Times New Roman" w:eastAsia="Times New Roman" w:hAnsi="Times New Roman"/>
          <w:i/>
          <w:iCs/>
          <w:sz w:val="24"/>
          <w:szCs w:val="24"/>
        </w:rPr>
        <w:t xml:space="preserve">guān</w:t>
      </w:r>
      <w:r>
        <w:rPr>
          <w:rFonts w:ascii="Times New Roman" w:cs="Times New Roman" w:eastAsia="Times New Roman" w:hAnsi="Times New Roman"/>
          <w:sz w:val="24"/>
          <w:szCs w:val="24"/>
        </w:rPr>
        <w:t xml:space="preserve"> “close” have been analyzed as activity verbs that do not encode the result (Tai, 1984), as implied-fulfillment verbs whose result is implicated but cancellable (Talmy, 1991, 2000), and as causative verbs that nevertheless allow zero-change construals (Martin et al., 2023). Kou and Hohenstein (2022) distinguish four fulfillment types, from verbs that leave the result unspecified to verbs that entail it, and propose diagnostics for assigning English and Mandarin verbs to them. Monomorphemic verbs have also been divided into strong and weak types according to their compatibility with preverbal time-span adverbials (Martin et al., 2023).</w:t>
      </w:r>
      <w:r>
        <w:rPr>
          <w:rFonts w:ascii="Times New Roman" w:cs="Times New Roman" w:eastAsia="Times New Roman" w:hAnsi="Times New Roman"/>
          <w:sz w:val="24"/>
          <w:szCs w:val="24"/>
          <w:highlight w:val="yellow"/>
          <w:highlightCs w:val="yellow"/>
        </w:rPr>
        <w:t xml:space="preserve">⟦待核：该二分及时间跨度状语诊断的出处（0507 稿引 Martin et al., 2020, 2023）⟧</w:t>
      </w:r>
      <w:r>
        <w:rPr>
          <w:rFonts w:ascii="Times New Roman" w:cs="Times New Roman" w:eastAsia="Times New Roman" w:hAnsi="Times New Roman"/>
          <w:sz w:val="24"/>
          <w:szCs w:val="24"/>
        </w:rPr>
        <w:t xml:space="preserve"> Chen (2018), using adult ratings, found instead that the acceptability of cancelling the result varies along a cline across verbs, and J. Liu et al. (2026) showed that such cancellation also depends on context, such as the presence of </w:t>
      </w:r>
      <w:r>
        <w:rPr>
          <w:rFonts w:ascii="Times New Roman" w:cs="Times New Roman" w:eastAsia="Times New Roman" w:hAnsi="Times New Roman"/>
          <w:i/>
          <w:iCs/>
          <w:sz w:val="24"/>
          <w:szCs w:val="24"/>
        </w:rPr>
        <w:t xml:space="preserve">hǎojǐcì</w:t>
      </w:r>
      <w:r>
        <w:rPr>
          <w:rFonts w:ascii="Times New Roman" w:cs="Times New Roman" w:eastAsia="Times New Roman" w:hAnsi="Times New Roman"/>
          <w:sz w:val="24"/>
          <w:szCs w:val="24"/>
        </w:rPr>
        <w:t xml:space="preserve"> “several times.” These accounts differ in their criteria and in where they draw boundaries, but they share one feature: Result strength is treated as a property of the verb.</w:t>
      </w:r>
    </w:p>
    <w:p>
      <w:pPr>
        <w:spacing w:after="0" w:before="0" w:line="480"/>
        <w:ind w:firstLine="720"/>
      </w:pPr>
      <w:r>
        <w:rPr>
          <w:rFonts w:ascii="Times New Roman" w:cs="Times New Roman" w:eastAsia="Times New Roman" w:hAnsi="Times New Roman"/>
          <w:sz w:val="24"/>
          <w:szCs w:val="24"/>
        </w:rPr>
        <w:t xml:space="preserve">This verb-level characterization is a limitation for studying how a V1 description is interpreted for a particular event. A comprehension task presents a V1 with a particular object and asks about a particular result, and, as the combination facts show, a V1’s relation to a result depends on the result in question: Kicking is plausibly a reliable way of knocking over a bottle but a less reliable way of opening a door. Work on sentence processing likewise shows that comprehenders’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selected V1–object expressions by their association with a specified target result.</w:t>
      </w:r>
    </w:p>
    <w:p>
      <w:pPr>
        <w:spacing w:after="0" w:before="0" w:line="480"/>
        <w:ind w:firstLine="720"/>
      </w:pPr>
      <w:r>
        <w:rPr>
          <w:rFonts w:ascii="Times New Roman" w:cs="Times New Roman" w:eastAsia="Times New Roman" w:hAnsi="Times New Roman"/>
          <w:sz w:val="24"/>
          <w:szCs w:val="24"/>
        </w:rPr>
        <w:t xml:space="preserve">The relation between a V1 action and a target result, which we refer to as </w:t>
      </w:r>
      <w:r>
        <w:rPr>
          <w:rFonts w:ascii="Times New Roman" w:cs="Times New Roman" w:eastAsia="Times New Roman" w:hAnsi="Times New Roman"/>
          <w:i/>
          <w:iCs/>
          <w:sz w:val="24"/>
          <w:szCs w:val="24"/>
        </w:rPr>
        <w:t xml:space="preserve">action–result association</w:t>
      </w:r>
      <w:r>
        <w:rPr>
          <w:rFonts w:ascii="Times New Roman" w:cs="Times New Roman" w:eastAsia="Times New Roman" w:hAnsi="Times New Roman"/>
          <w:sz w:val="24"/>
          <w:szCs w:val="24"/>
        </w:rPr>
        <w:t xml:space="preserve">, can be evaluated from either end. Result likelihood starts from the action: Once the V1–object action has been performed, how likely is the target result to follow? Action typicality starts from the result: Given the target result, how typical is the action as a means of achieving it? Blowing on a candle, for example, is both likely to put it out and a typical way of doing so, whereas waving at it is neither. Both dimensions concern the relation on which RVC formation depends, namely how a particular V1 event relates to a particular result, and both bear on which stage of an event a V1 description is taken to describe.</w:t>
      </w:r>
    </w:p>
    <w:p>
      <w:pPr>
        <w:spacing w:after="0" w:before="0" w:line="480"/>
        <w:ind w:firstLine="720"/>
      </w:pPr>
      <w:r>
        <w:rPr>
          <w:rFonts w:ascii="Times New Roman" w:cs="Times New Roman" w:eastAsia="Times New Roman" w:hAnsi="Times New Roman"/>
          <w:sz w:val="24"/>
          <w:szCs w:val="24"/>
        </w:rPr>
        <w:t xml:space="preserve">Result likelihood bears on the culmination inference. Accounts of monomorphemic verbs hold that a verb can imply a result without entailing it and that the strength of the implication varies, whether across verbs (Chen, 2018) or across fulfillment types that differ in the certainty of the result (Kou &amp; Hohenstein, 2022, 2024), but they do not specify what that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w:t>
      </w:r>
    </w:p>
    <w:p>
      <w:pPr>
        <w:spacing w:after="0" w:before="0" w:line="480"/>
        <w:ind w:firstLine="720"/>
      </w:pPr>
      <w:r>
        <w:rPr>
          <w:rFonts w:ascii="Times New Roman" w:cs="Times New Roman" w:eastAsia="Times New Roman" w:hAnsi="Times New Roman"/>
          <w:sz w:val="24"/>
          <w:szCs w:val="24"/>
        </w:rPr>
        <w:t xml:space="preserve">Action typicality bears on what counts as a good instance of the action. Actions are understood as directed toward results, and an expression can describe an action aimed at a result while leaving its attainment open (Kou &amp; Hohenstein, 2024; Talmy, 1991, 2000). The actions that achieve a given result can thus be viewed as a goal-derived category, in which typicality is predicted by how well members serve the goal and how often they are encountered as members (Barsalou, 1985). When an action is a typical means of achieving a result, that result is part of the usual course of the action, and an attempt that fails to produce it departs from that course. Because children are reluctant to extend familiar verbs beyond typical instances of the actions they name (Ma et al., 2021), such a failed attempt may make a V1 description less acceptable.</w:t>
      </w:r>
    </w:p>
    <w:p>
      <w:pPr>
        <w:spacing w:after="0" w:before="0" w:line="480"/>
        <w:ind w:firstLine="720"/>
      </w:pPr>
      <w:r>
        <w:rPr>
          <w:rFonts w:ascii="Times New Roman" w:cs="Times New Roman" w:eastAsia="Times New Roman" w:hAnsi="Times New Roman"/>
          <w:sz w:val="24"/>
          <w:szCs w:val="24"/>
        </w:rPr>
        <w:t xml:space="preserve">The two dimensions are expected to go together, because an action that reliably produces a result is often also a common way of producing it, although they need not coincide in every case (Kim &amp; Murphy, 2011). The present study uses them jointly: A V1–object expression has a stronger association with the target result than its partner when adults rate the result as more likely to follow the action and the action as a more typical means of achieving it. The difference in association is mirrored in how conventional the corresponding RVCs are: In the CCL corpus of Mandarin, the RVC formed with the stronger-association V1 was generally attested in more documents than that formed with its weaker-association partner (see Method). The study does not attempt to separate the contributions of the two dimensions. Neither rating measures lexical entailment or children’s own knowledge; both are adult reference measures of the selected V1–object–result relations.</w:t>
      </w:r>
    </w:p>
    <w:p>
      <w:pPr>
        <w:spacing w:after="0" w:before="0" w:line="480"/>
      </w:pPr>
      <w:r>
        <w:rPr>
          <w:rFonts w:ascii="Times New Roman" w:cs="Times New Roman" w:eastAsia="Times New Roman" w:hAnsi="Times New Roman"/>
          <w:b/>
          <w:bCs/>
          <w:sz w:val="24"/>
          <w:szCs w:val="24"/>
        </w:rPr>
        <w:t xml:space="preserve">Children’s Comprehension of RVCs and V1s</w:t>
      </w:r>
    </w:p>
    <w:p>
      <w:pPr>
        <w:spacing w:after="0" w:before="0" w:line="480"/>
        <w:ind w:firstLine="720"/>
      </w:pPr>
      <w:r>
        <w:rPr>
          <w:rFonts w:ascii="Times New Roman" w:cs="Times New Roman" w:eastAsia="Times New Roman" w:hAnsi="Times New Roman"/>
          <w:sz w:val="24"/>
          <w:szCs w:val="24"/>
        </w:rPr>
        <w:t xml:space="preserve">Comprehension studies of RVCs and V1s present events with or without the result and ask children to judge perfective descriptions of them. Mandarin-speaking children show early sensitivity to the association between the perfective marker </w:t>
      </w:r>
      <w:r>
        <w:rPr>
          <w:rFonts w:ascii="Times New Roman" w:cs="Times New Roman" w:eastAsia="Times New Roman" w:hAnsi="Times New Roman"/>
          <w:i/>
          <w:iCs/>
          <w:sz w:val="24"/>
          <w:szCs w:val="24"/>
        </w:rPr>
        <w:t xml:space="preserve">-le</w:t>
      </w:r>
      <w:r>
        <w:rPr>
          <w:rFonts w:ascii="Times New Roman" w:cs="Times New Roman" w:eastAsia="Times New Roman" w:hAnsi="Times New Roman"/>
          <w:sz w:val="24"/>
          <w:szCs w:val="24"/>
        </w:rPr>
        <w:t xml:space="preserve"> and telic verbs (Li &amp; Bowerman, 1998). Within this paradigm, J. Liu et al. (2026) found that 3-year-olds accepted non-culminating interpretations of both RVCs and monomorphemic causative verbs, whereas 5-year-olds rejected them for RVCs but rejected them for monomorphemic verbs more often than adults did; the adverbial </w:t>
      </w:r>
      <w:r>
        <w:rPr>
          <w:rFonts w:ascii="Times New Roman" w:cs="Times New Roman" w:eastAsia="Times New Roman" w:hAnsi="Times New Roman"/>
          <w:i/>
          <w:iCs/>
          <w:sz w:val="24"/>
          <w:szCs w:val="24"/>
        </w:rPr>
        <w:t xml:space="preserve">hǎojǐcì</w:t>
      </w:r>
      <w:r>
        <w:rPr>
          <w:rFonts w:ascii="Times New Roman" w:cs="Times New Roman" w:eastAsia="Times New Roman" w:hAnsi="Times New Roman"/>
          <w:sz w:val="24"/>
          <w:szCs w:val="24"/>
        </w:rPr>
        <w:t xml:space="preserve"> “several times” increased acceptance of non-culminating interpretations in all age groups. Children have also been reported to interpret simple verbs such as </w:t>
      </w:r>
      <w:r>
        <w:rPr>
          <w:rFonts w:ascii="Times New Roman" w:cs="Times New Roman" w:eastAsia="Times New Roman" w:hAnsi="Times New Roman"/>
          <w:i/>
          <w:iCs/>
          <w:sz w:val="24"/>
          <w:szCs w:val="24"/>
        </w:rPr>
        <w:t xml:space="preserve">guān</w:t>
      </w:r>
      <w:r>
        <w:rPr>
          <w:rFonts w:ascii="Times New Roman" w:cs="Times New Roman" w:eastAsia="Times New Roman" w:hAnsi="Times New Roman"/>
          <w:sz w:val="24"/>
          <w:szCs w:val="24"/>
        </w:rPr>
        <w:t xml:space="preserve"> “close” as entailing a change of state that adults do not require (Chen, 2017).</w:t>
      </w:r>
      <w:r>
        <w:rPr>
          <w:rFonts w:ascii="Times New Roman" w:cs="Times New Roman" w:eastAsia="Times New Roman" w:hAnsi="Times New Roman"/>
          <w:sz w:val="24"/>
          <w:szCs w:val="24"/>
          <w:highlight w:val="yellow"/>
          <w:highlightCs w:val="yellow"/>
        </w:rPr>
        <w:t xml:space="preserve">⟦待核：Chen 2017 全文中的具体数据与出处（或为 Chen 2005/2008）⟧</w:t>
      </w:r>
    </w:p>
    <w:p>
      <w:pPr>
        <w:spacing w:after="0" w:before="0" w:line="480"/>
        <w:ind w:firstLine="720"/>
      </w:pPr>
      <w:r>
        <w:rPr>
          <w:rFonts w:ascii="Times New Roman" w:cs="Times New Roman" w:eastAsia="Times New Roman" w:hAnsi="Times New Roman"/>
          <w:sz w:val="24"/>
          <w:szCs w:val="24"/>
        </w:rPr>
        <w:t xml:space="preserve">These findings indicate that by 5 years of age children appear to distinguish V1s from RVCs, in that they do not require the result for V1 descriptions as consistently as for RVC descriptions, but that their judgments of V1 descriptions remain stricter than adults’. Two questions remain open. First, it is not known whether 4-year-olds, who fall between the age groups tested by J. Liu et al. (2026), already distinguish the two forms. Second, previous studies have not asked whether children’s stricter judgments of V1 descriptions depend on how strongly the action is associated with the result. If they do, children should reject V1 descriptions of zero-result events more often when the V1 is strongly associated with the target result than when it is weakly associated with it. Because acceptance is a binary judgment, it can show whether children’s interpretation of V1s varies with action–result association, but not whether a rejection reflects an inference that the result occurred, a judgment that a description leaving an expected result unaddressed is inadequate (Katsos &amp; Bishop, 2011; Skordos &amp; Papafragou, 2016), or a judgment that the failed attempt is a poor instance of the action.</w:t>
      </w:r>
    </w:p>
    <w:p>
      <w:pPr>
        <w:spacing w:after="0" w:before="0" w:line="480"/>
      </w:pPr>
      <w:r>
        <w:rPr>
          <w:rFonts w:ascii="Times New Roman" w:cs="Times New Roman" w:eastAsia="Times New Roman" w:hAnsi="Times New Roman"/>
          <w:b/>
          <w:bCs/>
          <w:sz w:val="24"/>
          <w:szCs w:val="24"/>
        </w:rPr>
        <w:t xml:space="preserve">Children’s Production of RVCs and V1s</w:t>
      </w:r>
    </w:p>
    <w:p>
      <w:pPr>
        <w:spacing w:after="0" w:before="0" w:line="480"/>
        <w:ind w:firstLine="720"/>
      </w:pPr>
      <w:r>
        <w:rPr>
          <w:rFonts w:ascii="Times New Roman" w:cs="Times New Roman" w:eastAsia="Times New Roman" w:hAnsi="Times New Roman"/>
          <w:sz w:val="24"/>
          <w:szCs w:val="24"/>
        </w:rPr>
        <w:t xml:space="preserve">Comprehension shows how children evaluate descriptions supplied to them; production shows which information they choose to express when no description is supplied. Children produce RVCs from early on (Chen, 2008; Deng, 2019), and children between 3 and 5 years of age can produce RVCs with the infixes </w:t>
      </w:r>
      <w:r>
        <w:rPr>
          <w:rFonts w:ascii="Times New Roman" w:cs="Times New Roman" w:eastAsia="Times New Roman" w:hAnsi="Times New Roman"/>
          <w:i/>
          <w:iCs/>
          <w:sz w:val="24"/>
          <w:szCs w:val="24"/>
        </w:rPr>
        <w:t xml:space="preserve">-de-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-bu-</w:t>
      </w:r>
      <w:r>
        <w:rPr>
          <w:rFonts w:ascii="Times New Roman" w:cs="Times New Roman" w:eastAsia="Times New Roman" w:hAnsi="Times New Roman"/>
          <w:sz w:val="24"/>
          <w:szCs w:val="24"/>
        </w:rPr>
        <w:t xml:space="preserve"> when primed, which indicates that they treat V1 and V2 as separable components (Hsu et al., 2019). Production research has largely asked whether and when children form RVCs; it has rarely compared descriptions of matched events in which the same action does or does not attain its result.</w:t>
      </w:r>
    </w:p>
    <w:p>
      <w:pPr>
        <w:spacing w:after="0" w:before="0" w:line="480"/>
        <w:ind w:firstLine="720"/>
      </w:pPr>
      <w:r>
        <w:rPr>
          <w:rFonts w:ascii="Times New Roman" w:cs="Times New Roman" w:eastAsia="Times New Roman" w:hAnsi="Times New Roman"/>
          <w:sz w:val="24"/>
          <w:szCs w:val="24"/>
        </w:rPr>
        <w:t xml:space="preserve">This comparison is informative because RVC use and mention of the result do not coincide. When the result is attained, a speaker may describe the event with an RVC, name only the action, name only the result (e.g., </w:t>
      </w:r>
      <w:r>
        <w:rPr>
          <w:rFonts w:ascii="Times New Roman" w:cs="Times New Roman" w:eastAsia="Times New Roman" w:hAnsi="Times New Roman"/>
          <w:i/>
          <w:iCs/>
          <w:sz w:val="24"/>
          <w:szCs w:val="24"/>
        </w:rPr>
        <w:t xml:space="preserve">miè le</w:t>
      </w:r>
      <w:r>
        <w:rPr>
          <w:rFonts w:ascii="Times New Roman" w:cs="Times New Roman" w:eastAsia="Times New Roman" w:hAnsi="Times New Roman"/>
          <w:sz w:val="24"/>
          <w:szCs w:val="24"/>
        </w:rPr>
        <w:t xml:space="preserve"> “went out”), or express the action and the result in separate predicates. When the result is not attained, a speaker may describe only the action or mention the result in order to deny it, as in </w:t>
      </w:r>
      <w:r>
        <w:rPr>
          <w:rFonts w:ascii="Times New Roman" w:cs="Times New Roman" w:eastAsia="Times New Roman" w:hAnsi="Times New Roman"/>
          <w:i/>
          <w:iCs/>
          <w:sz w:val="24"/>
          <w:szCs w:val="24"/>
        </w:rPr>
        <w:t xml:space="preserve">méi bāo-kāi</w:t>
      </w:r>
      <w:r>
        <w:rPr>
          <w:rFonts w:ascii="Times New Roman" w:cs="Times New Roman" w:eastAsia="Times New Roman" w:hAnsi="Times New Roman"/>
          <w:sz w:val="24"/>
          <w:szCs w:val="24"/>
        </w:rPr>
        <w:t xml:space="preserve"> “did not peel open.” A child who produces fewer RVCs may therefore leave the result unmentioned or express it in another form, so RVC frequency alone does not show whether children encode the result. Distinguishing these possibilities requires coding whether an RVC is used and, among responses without one, whether the action, the target result, or both are expressed, as well as whether a mentioned result is affirmed or negated. A response that affirms the target result in a zero-result event would indicate that the speaker described an unattained result as attained.</w:t>
      </w:r>
    </w:p>
    <w:p>
      <w:pPr>
        <w:spacing w:after="0" w:before="0" w:line="480"/>
      </w:pPr>
      <w:r>
        <w:rPr>
          <w:rFonts w:ascii="Times New Roman" w:cs="Times New Roman" w:eastAsia="Times New Roman" w:hAnsi="Times New Roman"/>
          <w:b/>
          <w:bCs/>
          <w:sz w:val="24"/>
          <w:szCs w:val="24"/>
        </w:rPr>
        <w:t xml:space="preserve">The Present Study</w:t>
      </w:r>
    </w:p>
    <w:p>
      <w:pPr>
        <w:spacing w:after="0" w:before="0" w:line="480"/>
        <w:ind w:firstLine="720"/>
      </w:pPr>
      <w:r>
        <w:rPr>
          <w:rFonts w:ascii="Times New Roman" w:cs="Times New Roman" w:eastAsia="Times New Roman" w:hAnsi="Times New Roman"/>
          <w:sz w:val="24"/>
          <w:szCs w:val="24"/>
        </w:rP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V1–object expression was expected to be more strongly associated with the target result than the other (e.g., </w:t>
      </w:r>
      <w:r>
        <w:rPr>
          <w:rFonts w:ascii="Times New Roman" w:cs="Times New Roman" w:eastAsia="Times New Roman" w:hAnsi="Times New Roman"/>
          <w:i/>
          <w:iCs/>
          <w:sz w:val="24"/>
          <w:szCs w:val="24"/>
        </w:rPr>
        <w:t xml:space="preserve">chuī</w:t>
      </w:r>
      <w:r>
        <w:rPr>
          <w:rFonts w:ascii="Times New Roman" w:cs="Times New Roman" w:eastAsia="Times New Roman" w:hAnsi="Times New Roman"/>
          <w:sz w:val="24"/>
          <w:szCs w:val="24"/>
        </w:rPr>
        <w:t xml:space="preserve"> “blow” vs. </w:t>
      </w:r>
      <w:r>
        <w:rPr>
          <w:rFonts w:ascii="Times New Roman" w:cs="Times New Roman" w:eastAsia="Times New Roman" w:hAnsi="Times New Roman"/>
          <w:i/>
          <w:iCs/>
          <w:sz w:val="24"/>
          <w:szCs w:val="24"/>
        </w:rPr>
        <w:t xml:space="preserve">huī</w:t>
      </w:r>
      <w:r>
        <w:rPr>
          <w:rFonts w:ascii="Times New Roman" w:cs="Times New Roman" w:eastAsia="Times New Roman" w:hAnsi="Times New Roman"/>
          <w:sz w:val="24"/>
          <w:szCs w:val="24"/>
        </w:rPr>
        <w:t xml:space="preserve"> “wave” a candle, with the target result </w:t>
      </w:r>
      <w:r>
        <w:rPr>
          <w:rFonts w:ascii="Times New Roman" w:cs="Times New Roman" w:eastAsia="Times New Roman" w:hAnsi="Times New Roman"/>
          <w:i/>
          <w:iCs/>
          <w:sz w:val="24"/>
          <w:szCs w:val="24"/>
        </w:rPr>
        <w:t xml:space="preserve">miè</w:t>
      </w:r>
      <w:r>
        <w:rPr>
          <w:rFonts w:ascii="Times New Roman" w:cs="Times New Roman" w:eastAsia="Times New Roman" w:hAnsi="Times New Roman"/>
          <w:sz w:val="24"/>
          <w:szCs w:val="24"/>
        </w:rPr>
        <w:t xml:space="preserve"> “extinguished”). Adult ratings of result likelihood and action typicality were collected to verify and characterize this contrast. In eight pairs, the expected stronger-association expression received reliably higher ratings on both dimensions;</w:t>
      </w:r>
      <w:r>
        <w:rPr>
          <w:rFonts w:ascii="Times New Roman" w:cs="Times New Roman" w:eastAsia="Times New Roman" w:hAnsi="Times New Roman"/>
          <w:sz w:val="24"/>
          <w:szCs w:val="24"/>
          <w:highlight w:val="yellow"/>
          <w:highlightCs w:val="yellow"/>
        </w:rPr>
        <w:t xml:space="preserve">⟦待核：确认这 8 对的典型性差异逐对可靠⟧</w:t>
      </w:r>
      <w:r>
        <w:rPr>
          <w:rFonts w:ascii="Times New Roman" w:cs="Times New Roman" w:eastAsia="Times New Roman" w:hAnsi="Times New Roman"/>
          <w:sz w:val="24"/>
          <w:szCs w:val="24"/>
        </w:rPr>
        <w:t xml:space="preserve"> these pairs, comprising eight stronger-association and eight weaker-association V1s, form the materials for the analyses of Experiment 1. The two remaining pairs, in which the typicality difference was reversed or neither difference was reliable, are excluded from these analyses (see Method).</w:t>
      </w:r>
    </w:p>
    <w:p>
      <w:pPr>
        <w:spacing w:after="0" w:before="0" w:line="480"/>
        <w:ind w:firstLine="720"/>
      </w:pPr>
      <w:r>
        <w:rPr>
          <w:rFonts w:ascii="Times New Roman" w:cs="Times New Roman" w:eastAsia="Times New Roman" w:hAnsi="Times New Roman"/>
          <w:sz w:val="24"/>
          <w:szCs w:val="24"/>
        </w:rPr>
        <w:t xml:space="preserve">Experiment 1 tests children’s interpretation of RVC and V1 descriptions in a yes–no judgment task, in which acceptance serves as the measure of interpretation. It asks two questions:</w:t>
      </w:r>
    </w:p>
    <w:p>
      <w:pPr>
        <w:spacing w:after="0" w:before="0" w:line="480"/>
        <w:ind w:left="720"/>
      </w:pPr>
      <w:r>
        <w:rPr>
          <w:rFonts w:ascii="Times New Roman" w:cs="Times New Roman" w:eastAsia="Times New Roman" w:hAnsi="Times New Roman"/>
          <w:i/>
          <w:iCs/>
          <w:sz w:val="24"/>
          <w:szCs w:val="24"/>
        </w:rPr>
        <w:t xml:space="preserve">RQ1.</w:t>
      </w:r>
      <w:r>
        <w:rPr>
          <w:rFonts w:ascii="Times New Roman" w:cs="Times New Roman" w:eastAsia="Times New Roman" w:hAnsi="Times New Roman"/>
          <w:sz w:val="24"/>
          <w:szCs w:val="24"/>
        </w:rPr>
        <w:t xml:space="preserve"> Do children interpret V1 and RVC descriptions differently with respect to the target result, as indexed by whether acceptance of the two forms differs between full-result and zero-result events?</w:t>
      </w:r>
    </w:p>
    <w:p>
      <w:pPr>
        <w:spacing w:after="0" w:before="0" w:line="480"/>
        <w:ind w:left="720"/>
      </w:pPr>
      <w:r>
        <w:rPr>
          <w:rFonts w:ascii="Times New Roman" w:cs="Times New Roman" w:eastAsia="Times New Roman" w:hAnsi="Times New Roman"/>
          <w:i/>
          <w:iCs/>
          <w:sz w:val="24"/>
          <w:szCs w:val="24"/>
        </w:rPr>
        <w:t xml:space="preserve">RQ2.</w:t>
      </w:r>
      <w:r>
        <w:rPr>
          <w:rFonts w:ascii="Times New Roman" w:cs="Times New Roman" w:eastAsia="Times New Roman" w:hAnsi="Times New Roman"/>
          <w:sz w:val="24"/>
          <w:szCs w:val="24"/>
        </w:rPr>
        <w:t xml:space="preserve"> Within pairs matched for object and target result, do children interpret stronger- and weaker-association V1s differently, as indexed by whether acceptance of V1 descriptions differs between the two sets, particularly in zero-result events?</w:t>
      </w:r>
    </w:p>
    <w:p>
      <w:pPr>
        <w:spacing w:after="0" w:before="0" w:line="480"/>
        <w:ind w:firstLine="720"/>
      </w:pPr>
      <w:r>
        <w:rPr>
          <w:rFonts w:ascii="Times New Roman" w:cs="Times New Roman" w:eastAsia="Times New Roman" w:hAnsi="Times New Roman"/>
          <w:sz w:val="24"/>
          <w:szCs w:val="24"/>
        </w:rPr>
        <w:t xml:space="preserve">RVC descriptions are expected to be accepted for full-result and rejected for zero-result events, although children may accept some RVC descriptions of zero-result events (J. Liu et al., 2026). V1 descriptions are expected to be accepted less often in zero-result than in full-result events, but this difference should be smaller than for RVCs (J. Liu et al., 2026). In zero-result events, stronger-association V1s are expected to be accepted less often than their weaker-association partners, with a smaller difference in full-result events. Because 4-year-olds fall between the age groups tested by J. Liu et al. (2026), no directional prediction is made about differences between 4- and 5-year-olds.</w:t>
      </w:r>
    </w:p>
    <w:p>
      <w:pPr>
        <w:spacing w:after="0" w:before="0" w:line="480"/>
        <w:ind w:firstLine="720"/>
      </w:pPr>
      <w:r>
        <w:rPr>
          <w:rFonts w:ascii="Times New Roman" w:cs="Times New Roman" w:eastAsia="Times New Roman" w:hAnsi="Times New Roman"/>
          <w:sz w:val="24"/>
          <w:szCs w:val="24"/>
        </w:rPr>
        <w:t xml:space="preserve">Experiment 2 examines how children describe the same events in an open-ended video-description task. It first asks whether realization of the target result affects whether children include an RVC in their descriptions. Within responses that contain only monomorphemic verbs and do not mention other results, it then asks whether children express the action only, the target result only, or both in separate predicates. Whether a mentioned target result is affirmed or negated is coded separately. Full-result events are expected to elicit more RVCs than zero-result events, because an absent result is expressed only if the speaker chooses to deny it. The adult ratings are not used as predictors in Experiment 2: They were collected for specified V1–object expressions, whereas the production task supplies no expression and the videos were not rated on these dimensions.</w:t>
      </w:r>
    </w:p>
    <w:p>
      <w:pPr>
        <w:spacing w:after="0" w:before="0" w:line="480"/>
        <w:ind w:firstLine="720"/>
      </w:pPr>
      <w:r>
        <w:rPr>
          <w:rFonts w:ascii="Times New Roman" w:cs="Times New Roman" w:eastAsia="Times New Roman" w:hAnsi="Times New Roman"/>
          <w:sz w:val="24"/>
          <w:szCs w:val="24"/>
        </w:rPr>
        <w:t xml:space="preserve">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pPr>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Barsalou, L. W. (1985). Ideals, central tendency, and frequency of instantiation as determinants of graded structure in categories. </w:t>
      </w:r>
      <w:r>
        <w:rPr>
          <w:rFonts w:ascii="Times New Roman" w:cs="Times New Roman" w:eastAsia="Times New Roman" w:hAnsi="Times New Roman"/>
          <w:i/>
          <w:iCs/>
          <w:sz w:val="24"/>
          <w:szCs w:val="24"/>
        </w:rPr>
        <w:t xml:space="preserve">Journal of Experimental Psychology: Learning, Memory, and Cognition, 11</w:t>
      </w:r>
      <w:r>
        <w:rPr>
          <w:rFonts w:ascii="Times New Roman" w:cs="Times New Roman" w:eastAsia="Times New Roman" w:hAnsi="Times New Roman"/>
          <w:sz w:val="24"/>
          <w:szCs w:val="24"/>
        </w:rPr>
        <w:t xml:space="preserve">(4), 629–654. https://doi.org/10.1037/0278-7393.11.1-4.629</w:t>
      </w:r>
    </w:p>
    <w:p>
      <w:pPr>
        <w:spacing w:after="0" w:before="0" w:line="480"/>
        <w:ind w:left="720" w:hanging="720"/>
      </w:pPr>
      <w:r>
        <w:rPr>
          <w:rFonts w:ascii="Times New Roman" w:cs="Times New Roman" w:eastAsia="Times New Roman" w:hAnsi="Times New Roman"/>
          <w:sz w:val="24"/>
          <w:szCs w:val="24"/>
        </w:rPr>
        <w:t xml:space="preserve">Bicknell, K., Elman, J. L., Hare, M., McRae, K., &amp; Kutas, M. (2010). Effects of event knowledge in processing verbal arguments. </w:t>
      </w:r>
      <w:r>
        <w:rPr>
          <w:rFonts w:ascii="Times New Roman" w:cs="Times New Roman" w:eastAsia="Times New Roman" w:hAnsi="Times New Roman"/>
          <w:i/>
          <w:iCs/>
          <w:sz w:val="24"/>
          <w:szCs w:val="24"/>
        </w:rPr>
        <w:t xml:space="preserve">Journal of Memory and Language, 63</w:t>
      </w:r>
      <w:r>
        <w:rPr>
          <w:rFonts w:ascii="Times New Roman" w:cs="Times New Roman" w:eastAsia="Times New Roman" w:hAnsi="Times New Roman"/>
          <w:sz w:val="24"/>
          <w:szCs w:val="24"/>
        </w:rPr>
        <w:t xml:space="preserve">(4), 489–505. https://doi.org/10.1016/j.jml.2010.08.004</w:t>
      </w:r>
    </w:p>
    <w:p>
      <w:pPr>
        <w:spacing w:after="0" w:before="0" w:line="480"/>
        <w:ind w:left="720" w:hanging="720"/>
      </w:pPr>
      <w:r>
        <w:rPr>
          <w:rFonts w:ascii="Times New Roman" w:cs="Times New Roman" w:eastAsia="Times New Roman" w:hAnsi="Times New Roman"/>
          <w:sz w:val="24"/>
          <w:szCs w:val="24"/>
        </w:rPr>
        <w:t xml:space="preserve">Chen, J. (2008). </w:t>
      </w:r>
      <w:r>
        <w:rPr>
          <w:rFonts w:ascii="Times New Roman" w:cs="Times New Roman" w:eastAsia="Times New Roman" w:hAnsi="Times New Roman"/>
          <w:i/>
          <w:iCs/>
          <w:sz w:val="24"/>
          <w:szCs w:val="24"/>
        </w:rPr>
        <w:t xml:space="preserve">The acquisition of verb compounding in Mandarin Chinese</w:t>
      </w:r>
      <w:r>
        <w:rPr>
          <w:rFonts w:ascii="Times New Roman" w:cs="Times New Roman" w:eastAsia="Times New Roman" w:hAnsi="Times New Roman"/>
          <w:sz w:val="24"/>
          <w:szCs w:val="24"/>
        </w:rPr>
        <w:t xml:space="preserve"> [Doctoral dissertation, Vrije Universiteit Amsterdam]. LOT.</w:t>
      </w:r>
    </w:p>
    <w:p>
      <w:pPr>
        <w:spacing w:after="0" w:before="0" w:line="480"/>
        <w:ind w:left="720" w:hanging="720"/>
      </w:pPr>
      <w:r>
        <w:rPr>
          <w:rFonts w:ascii="Times New Roman" w:cs="Times New Roman" w:eastAsia="Times New Roman" w:hAnsi="Times New Roman"/>
          <w:sz w:val="24"/>
          <w:szCs w:val="24"/>
        </w:rPr>
        <w:t xml:space="preserve">Chen, J. (2017). When transparency doesn’t mean ease: Learning the meaning of resultative verb compounds in Mandarin Chinese. </w:t>
      </w:r>
      <w:r>
        <w:rPr>
          <w:rFonts w:ascii="Times New Roman" w:cs="Times New Roman" w:eastAsia="Times New Roman" w:hAnsi="Times New Roman"/>
          <w:i/>
          <w:iCs/>
          <w:sz w:val="24"/>
          <w:szCs w:val="24"/>
        </w:rPr>
        <w:t xml:space="preserve">Journal of Child Language, 44</w:t>
      </w:r>
      <w:r>
        <w:rPr>
          <w:rFonts w:ascii="Times New Roman" w:cs="Times New Roman" w:eastAsia="Times New Roman" w:hAnsi="Times New Roman"/>
          <w:sz w:val="24"/>
          <w:szCs w:val="24"/>
        </w:rPr>
        <w:t xml:space="preserve">(3), 695–718. https://doi.org/10.1017/S0305000916000192</w:t>
      </w:r>
    </w:p>
    <w:p>
      <w:pPr>
        <w:spacing w:after="0" w:before="0" w:line="480"/>
        <w:ind w:left="720" w:hanging="720"/>
      </w:pPr>
      <w:r>
        <w:rPr>
          <w:rFonts w:ascii="Times New Roman" w:cs="Times New Roman" w:eastAsia="Times New Roman" w:hAnsi="Times New Roman"/>
          <w:sz w:val="24"/>
          <w:szCs w:val="24"/>
        </w:rPr>
        <w:t xml:space="preserve">Chen, J. (2018). “He killed a chicken, but it didn’t die”: An empirical study of the lexicalization of state change in Mandarin monomorphemic verbs. </w:t>
      </w:r>
      <w:r>
        <w:rPr>
          <w:rFonts w:ascii="Times New Roman" w:cs="Times New Roman" w:eastAsia="Times New Roman" w:hAnsi="Times New Roman"/>
          <w:i/>
          <w:iCs/>
          <w:sz w:val="24"/>
          <w:szCs w:val="24"/>
        </w:rPr>
        <w:t xml:space="preserve">Chinese Language and Discourse, 9</w:t>
      </w:r>
      <w:r>
        <w:rPr>
          <w:rFonts w:ascii="Times New Roman" w:cs="Times New Roman" w:eastAsia="Times New Roman" w:hAnsi="Times New Roman"/>
          <w:sz w:val="24"/>
          <w:szCs w:val="24"/>
        </w:rPr>
        <w:t xml:space="preserve">(2), 136–161. https://doi.org/10.1075/cld.17007.che</w:t>
      </w:r>
    </w:p>
    <w:p>
      <w:pPr>
        <w:spacing w:after="0" w:before="0" w:line="480"/>
        <w:ind w:left="720" w:hanging="720"/>
      </w:pPr>
      <w:r>
        <w:rPr>
          <w:rFonts w:ascii="Times New Roman" w:cs="Times New Roman" w:eastAsia="Times New Roman" w:hAnsi="Times New Roman"/>
          <w:sz w:val="24"/>
          <w:szCs w:val="24"/>
        </w:rPr>
        <w:t xml:space="preserve">Deng, X. (2019). The acquisition of resultative verb compounds in Mandarin Chinese. </w:t>
      </w:r>
      <w:r>
        <w:rPr>
          <w:rFonts w:ascii="Times New Roman" w:cs="Times New Roman" w:eastAsia="Times New Roman" w:hAnsi="Times New Roman"/>
          <w:i/>
          <w:iCs/>
          <w:sz w:val="24"/>
          <w:szCs w:val="24"/>
        </w:rPr>
        <w:t xml:space="preserve">Journal of Chinese Linguistics, 47</w:t>
      </w:r>
      <w:r>
        <w:rPr>
          <w:rFonts w:ascii="Times New Roman" w:cs="Times New Roman" w:eastAsia="Times New Roman" w:hAnsi="Times New Roman"/>
          <w:sz w:val="24"/>
          <w:szCs w:val="24"/>
        </w:rPr>
        <w:t xml:space="preserve">(1), 42–81. https://doi.org/10.1353/jcl.2019.0002</w:t>
      </w:r>
    </w:p>
    <w:p>
      <w:pPr>
        <w:spacing w:after="0" w:before="0" w:line="480"/>
        <w:ind w:left="720" w:hanging="720"/>
      </w:pPr>
      <w:r>
        <w:rPr>
          <w:rFonts w:ascii="Times New Roman" w:cs="Times New Roman" w:eastAsia="Times New Roman" w:hAnsi="Times New Roman"/>
          <w:sz w:val="24"/>
          <w:szCs w:val="24"/>
        </w:rPr>
        <w:t xml:space="preserve">Han, P. (2021). Reanalyzing Mandarin V1–V2 resultative constructions—A force-theoretic approach. </w:t>
      </w:r>
      <w:r>
        <w:rPr>
          <w:rFonts w:ascii="Times New Roman" w:cs="Times New Roman" w:eastAsia="Times New Roman" w:hAnsi="Times New Roman"/>
          <w:i/>
          <w:iCs/>
          <w:sz w:val="24"/>
          <w:szCs w:val="24"/>
        </w:rPr>
        <w:t xml:space="preserve">Canadian Journal of Linguistics/Revue canadienne de linguistique, 66</w:t>
      </w:r>
      <w:r>
        <w:rPr>
          <w:rFonts w:ascii="Times New Roman" w:cs="Times New Roman" w:eastAsia="Times New Roman" w:hAnsi="Times New Roman"/>
          <w:sz w:val="24"/>
          <w:szCs w:val="24"/>
        </w:rPr>
        <w:t xml:space="preserve">(2), 191–222. https://doi.org/10.1017/cnj.2021.11 </w:t>
      </w:r>
      <w:r>
        <w:rPr>
          <w:rFonts w:ascii="Times New Roman" w:cs="Times New Roman" w:eastAsia="Times New Roman" w:hAnsi="Times New Roman"/>
          <w:sz w:val="24"/>
          <w:szCs w:val="24"/>
          <w:highlight w:val="yellow"/>
          <w:highlightCs w:val="yellow"/>
        </w:rPr>
        <w:t xml:space="preserve">⟦待核：页码⟧</w:t>
      </w:r>
    </w:p>
    <w:p>
      <w:pPr>
        <w:spacing w:after="0" w:before="0" w:line="480"/>
        <w:ind w:left="720" w:hanging="720"/>
      </w:pPr>
      <w:r>
        <w:rPr>
          <w:rFonts w:ascii="Times New Roman" w:cs="Times New Roman" w:eastAsia="Times New Roman" w:hAnsi="Times New Roman"/>
          <w:sz w:val="24"/>
          <w:szCs w:val="24"/>
        </w:rPr>
        <w:t xml:space="preserve">Hsu, N., Rispoli, M., &amp; Hadley, P. A. (2019). Mastering the grammar of complex events: Evidence from Mandarin resultative verb compounds. </w:t>
      </w:r>
      <w:r>
        <w:rPr>
          <w:rFonts w:ascii="Times New Roman" w:cs="Times New Roman" w:eastAsia="Times New Roman" w:hAnsi="Times New Roman"/>
          <w:i/>
          <w:iCs/>
          <w:sz w:val="24"/>
          <w:szCs w:val="24"/>
        </w:rPr>
        <w:t xml:space="preserve">Language Learning and Development, 15</w:t>
      </w:r>
      <w:r>
        <w:rPr>
          <w:rFonts w:ascii="Times New Roman" w:cs="Times New Roman" w:eastAsia="Times New Roman" w:hAnsi="Times New Roman"/>
          <w:sz w:val="24"/>
          <w:szCs w:val="24"/>
        </w:rPr>
        <w:t xml:space="preserve">(3), 255–277. https://doi.org/10.1080/15475441.2019.1590204</w:t>
      </w:r>
    </w:p>
    <w:p>
      <w:pPr>
        <w:spacing w:after="0" w:before="0" w:line="480"/>
        <w:ind w:left="720" w:hanging="720"/>
      </w:pPr>
      <w:r>
        <w:rPr>
          <w:rFonts w:ascii="Times New Roman" w:cs="Times New Roman" w:eastAsia="Times New Roman" w:hAnsi="Times New Roman"/>
          <w:sz w:val="24"/>
          <w:szCs w:val="24"/>
        </w:rPr>
        <w:t xml:space="preserve">Huang, C.-T. J. (2006). Resultatives and unaccusatives: A parametric view. </w:t>
      </w:r>
      <w:r>
        <w:rPr>
          <w:rFonts w:ascii="Times New Roman" w:cs="Times New Roman" w:eastAsia="Times New Roman" w:hAnsi="Times New Roman"/>
          <w:i/>
          <w:iCs/>
          <w:sz w:val="24"/>
          <w:szCs w:val="24"/>
        </w:rPr>
        <w:t xml:space="preserve">Bulletin of the Chinese Linguistic Society of Japan, 2006</w:t>
      </w:r>
      <w:r>
        <w:rPr>
          <w:rFonts w:ascii="Times New Roman" w:cs="Times New Roman" w:eastAsia="Times New Roman" w:hAnsi="Times New Roman"/>
          <w:sz w:val="24"/>
          <w:szCs w:val="24"/>
        </w:rPr>
        <w:t xml:space="preserve">(253), 1–43. https://doi.org/10.7131/chuugokugogaku.2006.1</w:t>
      </w:r>
    </w:p>
    <w:p>
      <w:pPr>
        <w:spacing w:after="0" w:before="0" w:line="480"/>
        <w:ind w:left="720" w:hanging="720"/>
      </w:pPr>
      <w:r>
        <w:rPr>
          <w:rFonts w:ascii="Times New Roman" w:cs="Times New Roman" w:eastAsia="Times New Roman" w:hAnsi="Times New Roman"/>
          <w:sz w:val="24"/>
          <w:szCs w:val="24"/>
        </w:rPr>
        <w:t xml:space="preserve">Katsos, N., &amp; Bishop, D. V. M. (2011). Pragmatic tolerance: Implications for the acquisition of informativeness and implicature. </w:t>
      </w:r>
      <w:r>
        <w:rPr>
          <w:rFonts w:ascii="Times New Roman" w:cs="Times New Roman" w:eastAsia="Times New Roman" w:hAnsi="Times New Roman"/>
          <w:i/>
          <w:iCs/>
          <w:sz w:val="24"/>
          <w:szCs w:val="24"/>
        </w:rPr>
        <w:t xml:space="preserve">Cognition, 120</w:t>
      </w:r>
      <w:r>
        <w:rPr>
          <w:rFonts w:ascii="Times New Roman" w:cs="Times New Roman" w:eastAsia="Times New Roman" w:hAnsi="Times New Roman"/>
          <w:sz w:val="24"/>
          <w:szCs w:val="24"/>
        </w:rPr>
        <w:t xml:space="preserve">(1), 67–81. https://doi.org/10.1016/j.cognition.2011.02.015</w:t>
      </w:r>
    </w:p>
    <w:p>
      <w:pPr>
        <w:spacing w:after="0" w:before="0" w:line="480"/>
        <w:ind w:left="720" w:hanging="720"/>
      </w:pPr>
      <w:r>
        <w:rPr>
          <w:rFonts w:ascii="Times New Roman" w:cs="Times New Roman" w:eastAsia="Times New Roman" w:hAnsi="Times New Roman"/>
          <w:sz w:val="24"/>
          <w:szCs w:val="24"/>
        </w:rPr>
        <w:t xml:space="preserve">Kim, S., &amp; Murphy, G. L. (2011). Ideals and category typicality. </w:t>
      </w:r>
      <w:r>
        <w:rPr>
          <w:rFonts w:ascii="Times New Roman" w:cs="Times New Roman" w:eastAsia="Times New Roman" w:hAnsi="Times New Roman"/>
          <w:i/>
          <w:iCs/>
          <w:sz w:val="24"/>
          <w:szCs w:val="24"/>
        </w:rPr>
        <w:t xml:space="preserve">Journal of Experimental Psychology: Learning, Memory, and Cognition, 37</w:t>
      </w:r>
      <w:r>
        <w:rPr>
          <w:rFonts w:ascii="Times New Roman" w:cs="Times New Roman" w:eastAsia="Times New Roman" w:hAnsi="Times New Roman"/>
          <w:sz w:val="24"/>
          <w:szCs w:val="24"/>
        </w:rPr>
        <w:t xml:space="preserve">(5), 1092–1112. https://doi.org/10.1037/a0023916</w:t>
      </w:r>
    </w:p>
    <w:p>
      <w:pPr>
        <w:spacing w:after="0" w:before="0" w:line="480"/>
        <w:ind w:left="720" w:hanging="720"/>
      </w:pPr>
      <w:r>
        <w:rPr>
          <w:rFonts w:ascii="Times New Roman" w:cs="Times New Roman" w:eastAsia="Times New Roman" w:hAnsi="Times New Roman"/>
          <w:sz w:val="24"/>
          <w:szCs w:val="24"/>
        </w:rPr>
        <w:t xml:space="preserve">Kou, X., &amp; Hohenstein, J. (2022). Fulfillment types in Realization events: Definition, distinctions, and diagnostics. </w:t>
      </w:r>
      <w:r>
        <w:rPr>
          <w:rFonts w:ascii="Times New Roman" w:cs="Times New Roman" w:eastAsia="Times New Roman" w:hAnsi="Times New Roman"/>
          <w:i/>
          <w:iCs/>
          <w:sz w:val="24"/>
          <w:szCs w:val="24"/>
        </w:rPr>
        <w:t xml:space="preserve">Lingua, 269</w:t>
      </w:r>
      <w:r>
        <w:rPr>
          <w:rFonts w:ascii="Times New Roman" w:cs="Times New Roman" w:eastAsia="Times New Roman" w:hAnsi="Times New Roman"/>
          <w:sz w:val="24"/>
          <w:szCs w:val="24"/>
        </w:rPr>
        <w:t xml:space="preserve">, Article 103204. https://doi.org/10.1016/j.lingua.2021.103204</w:t>
      </w:r>
    </w:p>
    <w:p>
      <w:pPr>
        <w:spacing w:after="0" w:before="0" w:line="480"/>
        <w:ind w:left="720" w:hanging="720"/>
      </w:pPr>
      <w:r>
        <w:rPr>
          <w:rFonts w:ascii="Times New Roman" w:cs="Times New Roman" w:eastAsia="Times New Roman" w:hAnsi="Times New Roman"/>
          <w:sz w:val="24"/>
          <w:szCs w:val="24"/>
        </w:rPr>
        <w:t xml:space="preserve">Kou, X., &amp; Hohenstein, J. (2024). Manner, result, and intention: Implications for event typology from a cognitive account of verb semantics based on fulfilment types. </w:t>
      </w:r>
      <w:r>
        <w:rPr>
          <w:rFonts w:ascii="Times New Roman" w:cs="Times New Roman" w:eastAsia="Times New Roman" w:hAnsi="Times New Roman"/>
          <w:i/>
          <w:iCs/>
          <w:sz w:val="24"/>
          <w:szCs w:val="24"/>
        </w:rPr>
        <w:t xml:space="preserve">Language and Cognition, 16</w:t>
      </w:r>
      <w:r>
        <w:rPr>
          <w:rFonts w:ascii="Times New Roman" w:cs="Times New Roman" w:eastAsia="Times New Roman" w:hAnsi="Times New Roman"/>
          <w:sz w:val="24"/>
          <w:szCs w:val="24"/>
        </w:rPr>
        <w:t xml:space="preserve">(4), 1053–1078. https://doi.org/10.1017/langcog.2023.72</w:t>
      </w:r>
    </w:p>
    <w:p>
      <w:pPr>
        <w:spacing w:after="0" w:before="0" w:line="480"/>
        <w:ind w:left="720" w:hanging="720"/>
      </w:pPr>
      <w:r>
        <w:rPr>
          <w:rFonts w:ascii="Times New Roman" w:cs="Times New Roman" w:eastAsia="Times New Roman" w:hAnsi="Times New Roman"/>
          <w:sz w:val="24"/>
          <w:szCs w:val="24"/>
        </w:rPr>
        <w:t xml:space="preserve">Li, C. N., &amp; Thompson, S. A. (1981). </w:t>
      </w:r>
      <w:r>
        <w:rPr>
          <w:rFonts w:ascii="Times New Roman" w:cs="Times New Roman" w:eastAsia="Times New Roman" w:hAnsi="Times New Roman"/>
          <w:i/>
          <w:iCs/>
          <w:sz w:val="24"/>
          <w:szCs w:val="24"/>
        </w:rPr>
        <w:t xml:space="preserve">Mandarin Chinese: A functional reference grammar</w:t>
      </w:r>
      <w:r>
        <w:rPr>
          <w:rFonts w:ascii="Times New Roman" w:cs="Times New Roman" w:eastAsia="Times New Roman" w:hAnsi="Times New Roman"/>
          <w:sz w:val="24"/>
          <w:szCs w:val="24"/>
        </w:rPr>
        <w:t xml:space="preserve">. University of California Press.</w:t>
      </w:r>
    </w:p>
    <w:p>
      <w:pPr>
        <w:spacing w:after="0" w:before="0" w:line="480"/>
        <w:ind w:left="720" w:hanging="720"/>
      </w:pPr>
      <w:r>
        <w:rPr>
          <w:rFonts w:ascii="Times New Roman" w:cs="Times New Roman" w:eastAsia="Times New Roman" w:hAnsi="Times New Roman"/>
          <w:sz w:val="24"/>
          <w:szCs w:val="24"/>
        </w:rPr>
        <w:t xml:space="preserve">Li, P., &amp; Bowerman, M. (1998). The acquisition of lexical and grammatical aspect in Chinese. </w:t>
      </w:r>
      <w:r>
        <w:rPr>
          <w:rFonts w:ascii="Times New Roman" w:cs="Times New Roman" w:eastAsia="Times New Roman" w:hAnsi="Times New Roman"/>
          <w:i/>
          <w:iCs/>
          <w:sz w:val="24"/>
          <w:szCs w:val="24"/>
        </w:rPr>
        <w:t xml:space="preserve">First Language, 18</w:t>
      </w:r>
      <w:r>
        <w:rPr>
          <w:rFonts w:ascii="Times New Roman" w:cs="Times New Roman" w:eastAsia="Times New Roman" w:hAnsi="Times New Roman"/>
          <w:sz w:val="24"/>
          <w:szCs w:val="24"/>
        </w:rPr>
        <w:t xml:space="preserve">(54), 311–350. https://doi.org/10.1177/014272379801805404</w:t>
      </w:r>
    </w:p>
    <w:p>
      <w:pPr>
        <w:spacing w:after="0" w:before="0" w:line="480"/>
        <w:ind w:left="720" w:hanging="720"/>
      </w:pPr>
      <w:r>
        <w:rPr>
          <w:rFonts w:ascii="Times New Roman" w:cs="Times New Roman" w:eastAsia="Times New Roman" w:hAnsi="Times New Roman"/>
          <w:sz w:val="24"/>
          <w:szCs w:val="24"/>
        </w:rPr>
        <w:t xml:space="preserve">Li, Y. (1990). On V-V compounds in Chinese. </w:t>
      </w:r>
      <w:r>
        <w:rPr>
          <w:rFonts w:ascii="Times New Roman" w:cs="Times New Roman" w:eastAsia="Times New Roman" w:hAnsi="Times New Roman"/>
          <w:i/>
          <w:iCs/>
          <w:sz w:val="24"/>
          <w:szCs w:val="24"/>
        </w:rPr>
        <w:t xml:space="preserve">Natural Language &amp; Linguistic Theory, 8</w:t>
      </w:r>
      <w:r>
        <w:rPr>
          <w:rFonts w:ascii="Times New Roman" w:cs="Times New Roman" w:eastAsia="Times New Roman" w:hAnsi="Times New Roman"/>
          <w:sz w:val="24"/>
          <w:szCs w:val="24"/>
        </w:rPr>
        <w:t xml:space="preserve">(2), 177–207. https://doi.org/10.1007/BF00208523</w:t>
      </w:r>
    </w:p>
    <w:p>
      <w:pPr>
        <w:spacing w:after="0" w:before="0" w:line="480"/>
        <w:ind w:left="720" w:hanging="720"/>
      </w:pPr>
      <w:r>
        <w:rPr>
          <w:rFonts w:ascii="Times New Roman" w:cs="Times New Roman" w:eastAsia="Times New Roman" w:hAnsi="Times New Roman"/>
          <w:sz w:val="24"/>
          <w:szCs w:val="24"/>
        </w:rPr>
        <w:t xml:space="preserve">Li, Y. (1995). The thematic hierarchy and causativity. </w:t>
      </w:r>
      <w:r>
        <w:rPr>
          <w:rFonts w:ascii="Times New Roman" w:cs="Times New Roman" w:eastAsia="Times New Roman" w:hAnsi="Times New Roman"/>
          <w:i/>
          <w:iCs/>
          <w:sz w:val="24"/>
          <w:szCs w:val="24"/>
        </w:rPr>
        <w:t xml:space="preserve">Natural Language &amp; Linguistic Theory, 13</w:t>
      </w:r>
      <w:r>
        <w:rPr>
          <w:rFonts w:ascii="Times New Roman" w:cs="Times New Roman" w:eastAsia="Times New Roman" w:hAnsi="Times New Roman"/>
          <w:sz w:val="24"/>
          <w:szCs w:val="24"/>
        </w:rPr>
        <w:t xml:space="preserve">(2), 255–282. https://doi.org/10.1007/BF00992783</w:t>
      </w:r>
    </w:p>
    <w:p>
      <w:pPr>
        <w:spacing w:after="0" w:before="0" w:line="480"/>
        <w:ind w:left="720" w:hanging="720"/>
      </w:pPr>
      <w:r>
        <w:rPr>
          <w:rFonts w:ascii="Times New Roman" w:cs="Times New Roman" w:eastAsia="Times New Roman" w:hAnsi="Times New Roman"/>
          <w:sz w:val="24"/>
          <w:szCs w:val="24"/>
        </w:rPr>
        <w:t xml:space="preserve">Liu, J. (2018). </w:t>
      </w:r>
      <w:r>
        <w:rPr>
          <w:rFonts w:ascii="Times New Roman" w:cs="Times New Roman" w:eastAsia="Times New Roman" w:hAnsi="Times New Roman"/>
          <w:i/>
          <w:iCs/>
          <w:sz w:val="24"/>
          <w:szCs w:val="24"/>
        </w:rPr>
        <w:t xml:space="preserve">(Non-culminating) accomplishments in child and adult Mandarin</w:t>
      </w:r>
      <w:r>
        <w:rPr>
          <w:rFonts w:ascii="Times New Roman" w:cs="Times New Roman" w:eastAsia="Times New Roman" w:hAnsi="Times New Roman"/>
          <w:sz w:val="24"/>
          <w:szCs w:val="24"/>
        </w:rPr>
        <w:t xml:space="preserve"> [Doctoral dissertation, Université de Nantes]. </w:t>
      </w:r>
      <w:r>
        <w:rPr>
          <w:rFonts w:ascii="Times New Roman" w:cs="Times New Roman" w:eastAsia="Times New Roman" w:hAnsi="Times New Roman"/>
          <w:sz w:val="24"/>
          <w:szCs w:val="24"/>
          <w:highlight w:val="yellow"/>
          <w:highlightCs w:val="yellow"/>
        </w:rPr>
        <w:t xml:space="preserve">⟦待核：题名与链接⟧</w:t>
      </w:r>
    </w:p>
    <w:p>
      <w:pPr>
        <w:spacing w:after="0" w:before="0" w:line="480"/>
        <w:ind w:left="720" w:hanging="720"/>
      </w:pPr>
      <w:r>
        <w:rPr>
          <w:rFonts w:ascii="Times New Roman" w:cs="Times New Roman" w:eastAsia="Times New Roman" w:hAnsi="Times New Roman"/>
          <w:sz w:val="24"/>
          <w:szCs w:val="24"/>
        </w:rPr>
        <w:t xml:space="preserve">Liu, J., van Hout, A., &amp; Demirdache, H. (2026). Mandarin children’s acquisition of event culmination. </w:t>
      </w:r>
      <w:r>
        <w:rPr>
          <w:rFonts w:ascii="Times New Roman" w:cs="Times New Roman" w:eastAsia="Times New Roman" w:hAnsi="Times New Roman"/>
          <w:i/>
          <w:iCs/>
          <w:sz w:val="24"/>
          <w:szCs w:val="24"/>
        </w:rPr>
        <w:t xml:space="preserve">Languages, 11</w:t>
      </w:r>
      <w:r>
        <w:rPr>
          <w:rFonts w:ascii="Times New Roman" w:cs="Times New Roman" w:eastAsia="Times New Roman" w:hAnsi="Times New Roman"/>
          <w:sz w:val="24"/>
          <w:szCs w:val="24"/>
        </w:rPr>
        <w:t xml:space="preserve">(9), Article 190. https://doi.org/10.3390/languages11090190</w:t>
      </w:r>
    </w:p>
    <w:p>
      <w:pPr>
        <w:spacing w:after="0" w:before="0" w:line="480"/>
        <w:ind w:left="720" w:hanging="720"/>
      </w:pPr>
      <w:r>
        <w:rPr>
          <w:rFonts w:ascii="Times New Roman" w:cs="Times New Roman" w:eastAsia="Times New Roman" w:hAnsi="Times New Roman"/>
          <w:sz w:val="24"/>
          <w:szCs w:val="24"/>
        </w:rPr>
        <w:t xml:space="preserve">Ma, W., Golinkoff, R. M., Song, L., &amp; Hirsh-Pasek, K. (2021). Using verb extension to gauge children’s verb meaning construals: The case of Chinese. </w:t>
      </w:r>
      <w:r>
        <w:rPr>
          <w:rFonts w:ascii="Times New Roman" w:cs="Times New Roman" w:eastAsia="Times New Roman" w:hAnsi="Times New Roman"/>
          <w:i/>
          <w:iCs/>
          <w:sz w:val="24"/>
          <w:szCs w:val="24"/>
        </w:rPr>
        <w:t xml:space="preserve">Frontiers in Psychology, 11</w:t>
      </w:r>
      <w:r>
        <w:rPr>
          <w:rFonts w:ascii="Times New Roman" w:cs="Times New Roman" w:eastAsia="Times New Roman" w:hAnsi="Times New Roman"/>
          <w:sz w:val="24"/>
          <w:szCs w:val="24"/>
        </w:rPr>
        <w:t xml:space="preserve">, Article 572198. https://doi.org/10.3389/fpsyg.2020.572198</w:t>
      </w:r>
    </w:p>
    <w:p>
      <w:pPr>
        <w:spacing w:after="0" w:before="0" w:line="480"/>
        <w:ind w:left="720" w:hanging="720"/>
      </w:pPr>
      <w:r>
        <w:rPr>
          <w:rFonts w:ascii="Times New Roman" w:cs="Times New Roman" w:eastAsia="Times New Roman" w:hAnsi="Times New Roman"/>
          <w:sz w:val="24"/>
          <w:szCs w:val="24"/>
        </w:rPr>
        <w:t xml:space="preserve">Martin, F., Sun, H., Liu, J., &amp; Demirdache, H. (2023). On the zero-change construal of causative simple verbs in Mandarin Chinese. In P. Liu, E. Sjovall, X. Sun, P. Berezovskaya, &amp; V. Hohaus (Eds.), </w:t>
      </w:r>
      <w:r>
        <w:rPr>
          <w:rFonts w:ascii="Times New Roman" w:cs="Times New Roman" w:eastAsia="Times New Roman" w:hAnsi="Times New Roman"/>
          <w:i/>
          <w:iCs/>
          <w:sz w:val="24"/>
          <w:szCs w:val="24"/>
        </w:rPr>
        <w:t xml:space="preserve">Proceedings of TripleA 7</w:t>
      </w:r>
      <w:r>
        <w:rPr>
          <w:rFonts w:ascii="Times New Roman" w:cs="Times New Roman" w:eastAsia="Times New Roman" w:hAnsi="Times New Roman"/>
          <w:sz w:val="24"/>
          <w:szCs w:val="24"/>
        </w:rPr>
        <w:t xml:space="preserve">. Universität Tübingen. </w:t>
      </w:r>
      <w:r>
        <w:rPr>
          <w:rFonts w:ascii="Times New Roman" w:cs="Times New Roman" w:eastAsia="Times New Roman" w:hAnsi="Times New Roman"/>
          <w:sz w:val="24"/>
          <w:szCs w:val="24"/>
          <w:highlight w:val="yellow"/>
          <w:highlightCs w:val="yellow"/>
        </w:rPr>
        <w:t xml:space="preserve">⟦待核：页码与链接⟧</w:t>
      </w:r>
    </w:p>
    <w:p>
      <w:pPr>
        <w:spacing w:after="0" w:before="0" w:line="480"/>
        <w:ind w:left="720" w:hanging="720"/>
      </w:pPr>
      <w:r>
        <w:rPr>
          <w:rFonts w:ascii="Times New Roman" w:cs="Times New Roman" w:eastAsia="Times New Roman" w:hAnsi="Times New Roman"/>
          <w:sz w:val="24"/>
          <w:szCs w:val="24"/>
        </w:rPr>
        <w:t xml:space="preserve">McRae, K., &amp; Matsuki, K. (2009). People use their knowledge of common events to understand language, and do so as quickly as possible. </w:t>
      </w:r>
      <w:r>
        <w:rPr>
          <w:rFonts w:ascii="Times New Roman" w:cs="Times New Roman" w:eastAsia="Times New Roman" w:hAnsi="Times New Roman"/>
          <w:i/>
          <w:iCs/>
          <w:sz w:val="24"/>
          <w:szCs w:val="24"/>
        </w:rPr>
        <w:t xml:space="preserve">Language and Linguistics Compass, 3</w:t>
      </w:r>
      <w:r>
        <w:rPr>
          <w:rFonts w:ascii="Times New Roman" w:cs="Times New Roman" w:eastAsia="Times New Roman" w:hAnsi="Times New Roman"/>
          <w:sz w:val="24"/>
          <w:szCs w:val="24"/>
        </w:rPr>
        <w:t xml:space="preserve">(6), 1417–1429. https://doi.org/10.1111/j.1749-818X.2009.00174.x</w:t>
      </w:r>
    </w:p>
    <w:p>
      <w:pPr>
        <w:spacing w:after="0" w:before="0" w:line="480"/>
        <w:ind w:left="720" w:hanging="720"/>
      </w:pPr>
      <w:r>
        <w:rPr>
          <w:rFonts w:ascii="Times New Roman" w:cs="Times New Roman" w:eastAsia="Times New Roman" w:hAnsi="Times New Roman"/>
          <w:sz w:val="24"/>
          <w:szCs w:val="24"/>
        </w:rPr>
        <w:t xml:space="preserve">Skordos, D., &amp; Papafragou, A. (2016). Children’s derivation of scalar implicatures: Alternatives and relevance. </w:t>
      </w:r>
      <w:r>
        <w:rPr>
          <w:rFonts w:ascii="Times New Roman" w:cs="Times New Roman" w:eastAsia="Times New Roman" w:hAnsi="Times New Roman"/>
          <w:i/>
          <w:iCs/>
          <w:sz w:val="24"/>
          <w:szCs w:val="24"/>
        </w:rPr>
        <w:t xml:space="preserve">Cognition, 153</w:t>
      </w:r>
      <w:r>
        <w:rPr>
          <w:rFonts w:ascii="Times New Roman" w:cs="Times New Roman" w:eastAsia="Times New Roman" w:hAnsi="Times New Roman"/>
          <w:sz w:val="24"/>
          <w:szCs w:val="24"/>
        </w:rPr>
        <w:t xml:space="preserve">, 6–18. https://doi.org/10.1016/j.cognition.2016.04.006 </w:t>
      </w:r>
      <w:r>
        <w:rPr>
          <w:rFonts w:ascii="Times New Roman" w:cs="Times New Roman" w:eastAsia="Times New Roman" w:hAnsi="Times New Roman"/>
          <w:sz w:val="24"/>
          <w:szCs w:val="24"/>
          <w:highlight w:val="yellow"/>
          <w:highlightCs w:val="yellow"/>
        </w:rPr>
        <w:t xml:space="preserve">⟦待核：DOI⟧</w:t>
      </w:r>
    </w:p>
    <w:p>
      <w:pPr>
        <w:spacing w:after="0" w:before="0" w:line="480"/>
        <w:ind w:left="720" w:hanging="720"/>
      </w:pPr>
      <w:r>
        <w:rPr>
          <w:rFonts w:ascii="Times New Roman" w:cs="Times New Roman" w:eastAsia="Times New Roman" w:hAnsi="Times New Roman"/>
          <w:sz w:val="24"/>
          <w:szCs w:val="24"/>
        </w:rPr>
        <w:t xml:space="preserve">Sybesma, R. (1999). </w:t>
      </w:r>
      <w:r>
        <w:rPr>
          <w:rFonts w:ascii="Times New Roman" w:cs="Times New Roman" w:eastAsia="Times New Roman" w:hAnsi="Times New Roman"/>
          <w:i/>
          <w:iCs/>
          <w:sz w:val="24"/>
          <w:szCs w:val="24"/>
        </w:rPr>
        <w:t xml:space="preserve">The Mandarin VP</w:t>
      </w:r>
      <w:r>
        <w:rPr>
          <w:rFonts w:ascii="Times New Roman" w:cs="Times New Roman" w:eastAsia="Times New Roman" w:hAnsi="Times New Roman"/>
          <w:sz w:val="24"/>
          <w:szCs w:val="24"/>
        </w:rPr>
        <w:t xml:space="preserve">. Kluwer Academic.</w:t>
      </w:r>
    </w:p>
    <w:p>
      <w:pPr>
        <w:spacing w:after="0" w:before="0" w:line="480"/>
        <w:ind w:left="720" w:hanging="720"/>
      </w:pPr>
      <w:r>
        <w:rPr>
          <w:rFonts w:ascii="Times New Roman" w:cs="Times New Roman" w:eastAsia="Times New Roman" w:hAnsi="Times New Roman"/>
          <w:sz w:val="24"/>
          <w:szCs w:val="24"/>
        </w:rPr>
        <w:t xml:space="preserve">Tai, J. H.-Y. (1984). Verbs and times in Chinese: Vendler’s four categories. In D. Testen, V. Mishra, &amp; J. Drogo (Eds.), </w:t>
      </w:r>
      <w:r>
        <w:rPr>
          <w:rFonts w:ascii="Times New Roman" w:cs="Times New Roman" w:eastAsia="Times New Roman" w:hAnsi="Times New Roman"/>
          <w:i/>
          <w:iCs/>
          <w:sz w:val="24"/>
          <w:szCs w:val="24"/>
        </w:rPr>
        <w:t xml:space="preserve">Papers from the parasession on lexical semantics</w:t>
      </w:r>
      <w:r>
        <w:rPr>
          <w:rFonts w:ascii="Times New Roman" w:cs="Times New Roman" w:eastAsia="Times New Roman" w:hAnsi="Times New Roman"/>
          <w:sz w:val="24"/>
          <w:szCs w:val="24"/>
        </w:rPr>
        <w:t xml:space="preserve"> (pp. 289–296). Chicago Linguistic Society. </w:t>
      </w:r>
      <w:r>
        <w:rPr>
          <w:rFonts w:ascii="Times New Roman" w:cs="Times New Roman" w:eastAsia="Times New Roman" w:hAnsi="Times New Roman"/>
          <w:sz w:val="24"/>
          <w:szCs w:val="24"/>
          <w:highlight w:val="yellow"/>
          <w:highlightCs w:val="yellow"/>
        </w:rPr>
        <w:t xml:space="preserve">⟦待核：题名 time/times⟧</w:t>
      </w:r>
    </w:p>
    <w:p>
      <w:pPr>
        <w:spacing w:after="0" w:before="0" w:line="480"/>
        <w:ind w:left="720" w:hanging="720"/>
      </w:pPr>
      <w:r>
        <w:rPr>
          <w:rFonts w:ascii="Times New Roman" w:cs="Times New Roman" w:eastAsia="Times New Roman" w:hAnsi="Times New Roman"/>
          <w:sz w:val="24"/>
          <w:szCs w:val="24"/>
        </w:rPr>
        <w:t xml:space="preserve">Talmy, L. (1991). Path to realization: A typology of event conflation. </w:t>
      </w:r>
      <w:r>
        <w:rPr>
          <w:rFonts w:ascii="Times New Roman" w:cs="Times New Roman" w:eastAsia="Times New Roman" w:hAnsi="Times New Roman"/>
          <w:i/>
          <w:iCs/>
          <w:sz w:val="24"/>
          <w:szCs w:val="24"/>
        </w:rPr>
        <w:t xml:space="preserve">Proceedings of the Annual Meeting of the Berkeley Linguistics Society, 17</w:t>
      </w:r>
      <w:r>
        <w:rPr>
          <w:rFonts w:ascii="Times New Roman" w:cs="Times New Roman" w:eastAsia="Times New Roman" w:hAnsi="Times New Roman"/>
          <w:sz w:val="24"/>
          <w:szCs w:val="24"/>
        </w:rPr>
        <w:t xml:space="preserve">, 480–519. https://doi.org/10.3765/bls.v17i0.1620</w:t>
      </w:r>
    </w:p>
    <w:p>
      <w:pPr>
        <w:spacing w:after="0" w:before="0" w:line="480"/>
        <w:ind w:left="720" w:hanging="720"/>
      </w:pPr>
      <w:r>
        <w:rPr>
          <w:rFonts w:ascii="Times New Roman" w:cs="Times New Roman" w:eastAsia="Times New Roman" w:hAnsi="Times New Roman"/>
          <w:sz w:val="24"/>
          <w:szCs w:val="24"/>
        </w:rPr>
        <w:t xml:space="preserve">Talmy, L. (2000). </w:t>
      </w:r>
      <w:r>
        <w:rPr>
          <w:rFonts w:ascii="Times New Roman" w:cs="Times New Roman" w:eastAsia="Times New Roman" w:hAnsi="Times New Roman"/>
          <w:i/>
          <w:iCs/>
          <w:sz w:val="24"/>
          <w:szCs w:val="24"/>
        </w:rPr>
        <w:t xml:space="preserve">Toward a cognitive semantics: Vol. 2. Typology and process in concept structuring</w:t>
      </w:r>
      <w:r>
        <w:rPr>
          <w:rFonts w:ascii="Times New Roman" w:cs="Times New Roman" w:eastAsia="Times New Roman" w:hAnsi="Times New Roman"/>
          <w:sz w:val="24"/>
          <w:szCs w:val="24"/>
        </w:rPr>
        <w:t xml:space="preserve">. MIT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cs="Times New Roman" w:eastAsia="Times New Roman" w:hAnsi="Times New Roman"/>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(J. Liu, 2018). Throughout, the </w:t>
      </w:r>
      <w:r>
        <w:rPr>
          <w:rFonts w:ascii="Times New Roman" w:cs="Times New Roman" w:eastAsia="Times New Roman" w:hAnsi="Times New Roman"/>
          <w:i/>
          <w:iCs/>
          <w:sz w:val="20"/>
          <w:szCs w:val="20"/>
        </w:rPr>
        <w:t xml:space="preserve">target result</w:t>
      </w:r>
      <w:r>
        <w:rPr>
          <w:rFonts w:ascii="Times New Roman" w:cs="Times New Roman" w:eastAsia="Times New Roman" w:hAnsi="Times New Roman"/>
          <w:sz w:val="20"/>
          <w:szCs w:val="20"/>
        </w:rPr>
        <w:t xml:space="preserve"> is the result expressed by V2 in the paired RVC; </w:t>
      </w:r>
      <w:r>
        <w:rPr>
          <w:rFonts w:ascii="Times New Roman" w:cs="Times New Roman" w:eastAsia="Times New Roman" w:hAnsi="Times New Roman"/>
          <w:i/>
          <w:iCs/>
          <w:sz w:val="20"/>
          <w:szCs w:val="20"/>
        </w:rPr>
        <w:t xml:space="preserve">target</w:t>
      </w:r>
      <w:r>
        <w:rPr>
          <w:rFonts w:ascii="Times New Roman" w:cs="Times New Roman" w:eastAsia="Times New Roman" w:hAnsi="Times New Roman"/>
          <w:sz w:val="20"/>
          <w:szCs w:val="20"/>
        </w:rPr>
        <w:t xml:space="preserve"> does not imply that the result is intended or expected. In </w:t>
      </w:r>
      <w:r>
        <w:rPr>
          <w:rFonts w:ascii="Times New Roman" w:cs="Times New Roman" w:eastAsia="Times New Roman" w:hAnsi="Times New Roman"/>
          <w:i/>
          <w:iCs/>
          <w:sz w:val="20"/>
          <w:szCs w:val="20"/>
        </w:rPr>
        <w:t xml:space="preserve">full-result</w:t>
      </w:r>
      <w:r>
        <w:rPr>
          <w:rFonts w:ascii="Times New Roman" w:cs="Times New Roman" w:eastAsia="Times New Roman" w:hAnsi="Times New Roman"/>
          <w:sz w:val="20"/>
          <w:szCs w:val="20"/>
        </w:rPr>
        <w:t xml:space="preserve"> events the target result is visibly attained; in </w:t>
      </w:r>
      <w:r>
        <w:rPr>
          <w:rFonts w:ascii="Times New Roman" w:cs="Times New Roman" w:eastAsia="Times New Roman" w:hAnsi="Times New Roman"/>
          <w:i/>
          <w:iCs/>
          <w:sz w:val="20"/>
          <w:szCs w:val="20"/>
        </w:rPr>
        <w:t xml:space="preserve">zero-result</w:t>
      </w:r>
      <w:r>
        <w:rPr>
          <w:rFonts w:ascii="Times New Roman" w:cs="Times New Roman" w:eastAsia="Times New Roman" w:hAnsi="Times New Roman"/>
          <w:sz w:val="20"/>
          <w:szCs w:val="20"/>
        </w:rPr>
        <w:t xml:space="preserve"> events the action is performed but the target result is not attained.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2026-10-14T07:32:54.143Z</dcterms:created>
  <dcterms:modified xsi:type="dcterms:W3CDTF">2026-10-14T07:32:54.151Z</dcterms:modified>
</cp:coreProperties>
</file>

<file path=docProps/custom.xml><?xml version="1.0" encoding="utf-8"?>
<Properties xmlns="http://schemas.openxmlformats.org/officeDocument/2006/custom-properties" xmlns:vt="http://schemas.openxmlformats.org/officeDocument/2006/docPropsVTypes"/>
</file>