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58A1352D" w14:textId="77777777" w:rsidR="008215DC" w:rsidRDefault="00000000">
      <w:pPr>
        <w:pStyle w:val="Heading1"/>
      </w:pPr>
      <w:r>
        <w:rPr/>
        <w:t xml:space="preserve">Abstract</w:t>
      </w:r>
    </w:p>
    <w:p w14:paraId="58A1352D" w14:textId="77777777" w:rsidR="008215DC" w:rsidRDefault="00000000">
      <w:pPr>
        <w:ind w:firstLine="0"/>
      </w:pPr>
      <w:r>
        <w:rPr/>
        <w:t xml:space="preserve">Mandarin resultative verb compounds (RVCs), such as </w:t>
      </w:r>
      <w:r>
        <w:rPr>
          <w:i/>
        </w:rPr>
        <w:t xml:space="preserve">chuī-miè</w:t>
      </w:r>
      <w:r>
        <w:rPr/>
        <w:t xml:space="preserve"> “blow-extinguished,” entail the result named by the second verb, whereas their monomorphemic first verbs (V1s), such as </w:t>
      </w:r>
      <w:r>
        <w:rPr>
          <w:i/>
        </w:rPr>
        <w:t xml:space="preserve">chuī</w:t>
      </w:r>
      <w:r>
        <w:rPr/>
        <w:t xml:space="preserve"> “blow,” only suggest it. This study examined how Mandarin-speaking 4- and 5-year-olds and adults interpret and describe events in which an action does or does not bring about a target result. The materials comprised pairs of actions performed on the same object with the same target result, which differed in how strongly the action was associated with the result, as verified by adult ratings of result likelihood and action typicality. In a yes–no judgment task (</w:t>
      </w:r>
      <w:r>
        <w:rPr>
          <w:i/>
        </w:rPr>
        <w:t xml:space="preserve">N</w:t>
      </w:r>
      <w:r>
        <w:rPr/>
        <w:t xml:space="preserve"> = 104), all age groups rejected RVC descriptions of zero-result events and accepted V1 descriptions of these events more often, although children accepted V1 descriptions less often than adults. In all groups, V1 descriptions of zero-result events were accepted less often when the V1 named an action more strongly associated with the result. This association effect did not differ credibly between children and adults, and children’s lower acceptance held for both stronger- and weaker-association V1s. In an elicited-production task (</w:t>
      </w:r>
      <w:r>
        <w:rPr>
          <w:i/>
        </w:rPr>
        <w:t xml:space="preserve">N</w:t>
      </w:r>
      <w:r>
        <w:rPr/>
        <w:t xml:space="preserve"> = 104), all groups produced fewer RVCs and mentioned the result less often for zero-result events, and children produced fewer RVCs than adults mainly because they mentioned the result less often. The findings suggest that what a V1 conveys about a result depends on the relation between the named action and the result, for children as for adults.</w:t>
      </w:r>
    </w:p>
    <w:p w14:paraId="58A1352D" w14:textId="77777777" w:rsidR="008215DC" w:rsidRDefault="00000000">
      <w:pPr>
        <w:pageBreakBefore w:val="0"/>
        <w:ind w:firstLine="720"/>
      </w:pPr>
      <w:r>
        <w:rPr>
          <w:i/>
        </w:rPr>
        <w:t xml:space="preserve">Keywords:</w:t>
      </w:r>
      <w:r>
        <w:rPr/>
        <w:t xml:space="preserve"> resultative verb compounds, Mandarin Chinese, event culmination, action–result association, verb semantics, comprehension and production</w:t>
      </w:r>
    </w:p>
    <w:p w14:paraId="58A1352D" w14:textId="77777777" w:rsidR="008215DC" w:rsidRDefault="00000000">
      <w:pPr>
        <w:pStyle w:val="Title"/>
        <w:pageBreakBefore/>
      </w:pPr>
      <w:r>
        <w:rPr/>
        <w:t xml:space="preserve">Mandarin-Speaking Children’s Interpretation and Expression of Actions and Results: Evidence From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rPr>
          <w:i/>
        </w:rPr>
        <w:t>kū-shī</w:t>
      </w:r>
      <w:proofErr w:type="spellEnd"/>
      <w:r w:rsidRPr="00197B71">
        <w:t xml:space="preserve"> </w:t>
      </w:r>
      <w:proofErr w:type="spellStart"/>
      <w:r w:rsidRPr="00197B71">
        <w:rPr>
          <w:i/>
        </w:rPr>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i/>
        </w:rPr>
        <w:t>tī</w:t>
      </w:r>
      <w:proofErr w:type="spellEnd"/>
      <w:r w:rsidRPr="00EA6370">
        <w:t xml:space="preserve"> “kick” forms both </w:t>
      </w:r>
      <w:proofErr w:type="spellStart"/>
      <w:r w:rsidRPr="00EA6370">
        <w:rPr>
          <w:i/>
        </w:rPr>
        <w:t>tī-dǎo</w:t>
      </w:r>
      <w:proofErr w:type="spellEnd"/>
      <w:r w:rsidRPr="00EA6370">
        <w:t xml:space="preserve"> “kick-fallen” and </w:t>
      </w:r>
      <w:proofErr w:type="spellStart"/>
      <w:r w:rsidRPr="00EA6370">
        <w:rPr>
          <w:i/>
        </w:rPr>
        <w:t>tī-kāi</w:t>
      </w:r>
      <w:proofErr w:type="spellEnd"/>
      <w:r w:rsidRPr="00EA6370">
        <w:t xml:space="preserve"> “kick-open,” and </w:t>
      </w:r>
      <w:proofErr w:type="spellStart"/>
      <w:r w:rsidRPr="00EA6370">
        <w:rPr>
          <w:i/>
        </w:rPr>
        <w:t>miè</w:t>
      </w:r>
      <w:proofErr w:type="spellEnd"/>
      <w:r w:rsidRPr="00EA6370">
        <w:t xml:space="preserve"> “extinguished” follows both </w:t>
      </w:r>
      <w:proofErr w:type="spellStart"/>
      <w:r w:rsidRPr="00EA6370">
        <w:rPr>
          <w:i/>
        </w:rPr>
        <w:t>chuī</w:t>
      </w:r>
      <w:proofErr w:type="spellEnd"/>
      <w:r w:rsidRPr="00EA6370">
        <w:t xml:space="preserve"> “blow” and </w:t>
      </w:r>
      <w:proofErr w:type="spellStart"/>
      <w:r w:rsidRPr="00EA6370">
        <w:rPr>
          <w:i/>
        </w:rPr>
        <w:t>pū</w:t>
      </w:r>
      <w:proofErr w:type="spellEnd"/>
      <w:r w:rsidRPr="00EA6370">
        <w:t xml:space="preserve"> “beat.”</w:t>
      </w:r>
      <w:r>
        <w:t xml:space="preserve"> These combinations are not equally conventional, however. By </w:t>
      </w:r>
      <w:r>
        <w:rPr>
          <w:i/>
        </w:rPr>
        <w:t>conventional</w:t>
      </w:r>
      <w:r>
        <w:t xml:space="preserve"> we mean how established an RVC is as an expression, that is, how commonly speakers use it: </w:t>
      </w:r>
      <w:r>
        <w:rPr>
          <w:i/>
        </w:rPr>
        <w:t>chuī-miè</w:t>
      </w:r>
      <w:r>
        <w:t xml:space="preserve"> “blow-extinguished” is a common expression, whereas </w:t>
      </w:r>
      <w:r>
        <w:rPr>
          <w:i/>
        </w:rPr>
        <w:t>huī-miè</w:t>
      </w:r>
      <w:r>
        <w:t xml:space="preserve"> “wave-extinguished” is hardly ever used. If whether a compound is possible depends on how the action relates to the result, how conventional it is may depend on this relation as well: An action that is a natural means of bringing about a result is likely to be described often with the corresponding RVC. The two are nonetheless distinct, because conventionality concerns the expression, whereas the relation concerns the event. Existing accounts do not specify what makes a given action a more or less natural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w:t>
      </w:r>
      <w:r>
        <w:lastRenderedPageBreak/>
        <w:t>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xml:space="preserve">, 1991, 2000), and as causative verbs that nevertheless allow zero-change construals (Martin et al., 2020, 2026).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time-span adverbials (Martin et al., 2020, 2026). This diagnostic, however, is binary, and it tracks whether a result construal of the verb phrase is available, which the object and the context can supply; it therefore does not grade how strongly a verb implies a result. The V1s in the present materials were originally selected as strong and weak with this diagnostic, but the present study characterizes them by adult ratings instead (see Materials).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xml:space="preserve">’ expectations about events depend on the combination of a verb with its arguments rather than on the verb alone (Bicknell et al., 2010; McRae &amp; Matsuki, </w:t>
      </w:r>
      <w:r>
        <w:lastRenderedPageBreak/>
        <w:t>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how typical the action is as a means of achieving that result. The two ratings approach the relation from the action and from the result, respectively: Blowing on a candle, for example, is both likely to put it out and a typical way of doing so, whereas waving at it is neither. Both ratings concern the relation between an action and a result in the event, not how conventional the corresponding RVC is.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w:t>
      </w:r>
      <w:r w:rsidRPr="00DF4AE6">
        <w:lastRenderedPageBreak/>
        <w:t xml:space="preserve">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rPr>
          <w:i/>
        </w:rPr>
        <w:t>hǎojǐcì</w:t>
      </w:r>
      <w:proofErr w:type="spellEnd"/>
      <w:r w:rsidRPr="00DF4AE6">
        <w:t xml:space="preserve"> “several times” increased acceptance in all age groups. Children’s rejections also varied across verbs. In Chen’s (2017) study, </w:t>
      </w:r>
      <w:proofErr w:type="spellStart"/>
      <w:r w:rsidRPr="00DF4AE6">
        <w:rPr>
          <w:i/>
        </w:rPr>
        <w:t>guān</w:t>
      </w:r>
      <w:proofErr w:type="spellEnd"/>
      <w:r w:rsidRPr="00DF4AE6">
        <w:t xml:space="preserve"> “close” and </w:t>
      </w:r>
      <w:proofErr w:type="spellStart"/>
      <w:r w:rsidRPr="00DF4AE6">
        <w:rPr>
          <w:i/>
        </w:rPr>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w:t>
      </w:r>
      <w:r w:rsidRPr="00C37B3C">
        <w:lastRenderedPageBreak/>
        <w:t xml:space="preserve">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i/>
        </w:rPr>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lastRenderedPageBreak/>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rPr>
          <w:i/>
        </w:rPr>
        <w:t>méi</w:t>
      </w:r>
      <w:proofErr w:type="spellEnd"/>
      <w:r w:rsidRPr="005E64BA">
        <w:t xml:space="preserve"> </w:t>
      </w:r>
      <w:proofErr w:type="spellStart"/>
      <w:r w:rsidRPr="005E64BA">
        <w:rPr>
          <w:i/>
        </w:rPr>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w:t>
      </w:r>
      <w:r>
        <w:t>association V1s, form the materials for the analyses of Experiment 1. The two remaining pairs, in which the typicality difference was reversed or neither difference was reliable, are excluded from these analyses (see Pair Selection).</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them, particularly in zero-result events, and does this difference differ between children and adults?</w:t>
      </w:r>
    </w:p>
    <w:p w14:paraId="455138B3" w14:textId="77777777" w:rsidR="0055310B" w:rsidRPr="0055310B" w:rsidRDefault="00000000" w:rsidP="0055310B">
      <w:r>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in all age groups, with a smaller difference in full-result events, and children are expected to accept V1 descriptions of zero-result events less often than adults regardless of association (Chen, 2017; J. Liu et al., 2026). No directional prediction is made about whether the association effect differs between children and adults. An initial analysis of the child data with all 10 pairs and the original Strong/Weak coding showed effects of both association and age group on V1 acceptance in zero-result events but no interaction between them (see Pair Selection).</w:t>
      </w:r>
    </w:p>
    <w:p w14:paraId="57F90C35" w14:textId="77777777" w:rsidR="00C3541B" w:rsidRPr="00C3541B" w:rsidRDefault="00C3541B" w:rsidP="00C3541B">
      <w:r w:rsidRPr="00C3541B">
        <w:lastRenderedPageBreak/>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w:t>
      </w:r>
      <w:r>
        <w:lastRenderedPageBreak/>
        <w:t>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thus comprise 10 expected stronger-association expressions and their 10 expected weaker-association partners.</w:t>
      </w:r>
    </w:p>
    <w:p w14:paraId="69138DD9" w14:textId="77777777" w:rsidR="009D4CF3" w:rsidRDefault="00000000">
      <w:r>
        <w:t xml:space="preserve">When the materials were designed, the V1s were classified as Strong and Weak V1s, following Martin et al. (2020, 2026). On this classification, Strong V1s, such as </w:t>
      </w:r>
      <w:r>
        <w:rPr>
          <w:i/>
        </w:rPr>
        <w:t>xǐ</w:t>
      </w:r>
      <w:r>
        <w:t xml:space="preserve"> “wash,” strongly imply a change of state in the object, whereas Weak V1s, such as </w:t>
      </w:r>
      <w:r>
        <w:rPr>
          <w:i/>
        </w:rPr>
        <w:t>mō</w:t>
      </w:r>
      <w:r>
        <w:t xml:space="preserve"> “pet,” at best weakly imply one. The two classes are distinguished by a single diagnostic: Only Strong V1s are compatible with a preverbal time-span adverbial, as in </w:t>
      </w:r>
      <w:r>
        <w:rPr>
          <w:i/>
        </w:rPr>
        <w:t>yì fēnzhōng xǐ-le yì shuāng wàzi</w:t>
      </w:r>
      <w:r>
        <w:t xml:space="preserve"> “washed a pair of socks in one minute” versus </w:t>
      </w:r>
      <w:r>
        <w:rPr>
          <w:i/>
        </w:rPr>
        <w:t>*yì fēnzhōng mō-le yì zhī māo</w:t>
      </w:r>
      <w:r>
        <w:t xml:space="preserve"> “petted a cat in one minute.” </w:t>
      </w:r>
      <w:r>
        <w:t xml:space="preserve">Some V1s in the present materials were taken from Martin et al. (2020), and the others were selected with this diagnostic. 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of the Weak V1s in the present materials are also compatible with the adverbial when combined with a suitable object, as in </w:t>
      </w:r>
      <w:r>
        <w:rPr>
          <w:i/>
        </w:rPr>
        <w:t>yì fēnzhōng tuī-le yí ge xiāngzi</w:t>
      </w:r>
      <w:r>
        <w:t xml:space="preserve"> “pushed a box in one minute,” and the same holds for </w:t>
      </w:r>
      <w:r>
        <w:rPr>
          <w:i/>
        </w:rPr>
        <w:t>chōng</w:t>
      </w:r>
      <w:r>
        <w:t xml:space="preserve"> “rinse” and </w:t>
      </w:r>
      <w:r>
        <w:rPr>
          <w:i/>
        </w:rPr>
        <w:t>chuí</w:t>
      </w:r>
      <w:r>
        <w:t xml:space="preserve"> “hammer.” Third, the Strong V1s grouped verbs that name an action directed at a specific result, such as </w:t>
      </w:r>
      <w:r>
        <w:rPr>
          <w:i/>
        </w:rPr>
        <w:t>bāo</w:t>
      </w:r>
      <w:r>
        <w:t xml:space="preserve"> “peel,” </w:t>
      </w:r>
      <w:r>
        <w:rPr>
          <w:i/>
        </w:rPr>
        <w:t>sī</w:t>
      </w:r>
      <w:r>
        <w:t xml:space="preserve"> “tear,” and </w:t>
      </w:r>
      <w:r>
        <w:rPr>
          <w:i/>
        </w:rPr>
        <w:t>cā</w:t>
      </w:r>
      <w:r>
        <w:t xml:space="preserve"> “wipe,” with verbs that name a manner of action compatible with many results, such as </w:t>
      </w:r>
      <w:r>
        <w:rPr>
          <w:i/>
        </w:rPr>
        <w:t>tī</w:t>
      </w:r>
      <w:r>
        <w:t xml:space="preserve"> “kick” and </w:t>
      </w:r>
      <w:r>
        <w:rPr>
          <w:i/>
        </w:rPr>
        <w:t>chuī</w:t>
      </w:r>
      <w: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 described below. The labels </w:t>
      </w:r>
      <w:r>
        <w:rPr>
          <w:i/>
        </w:rPr>
        <w:t>stronger-association</w:t>
      </w:r>
      <w:r>
        <w:t xml:space="preserve"> and </w:t>
      </w:r>
      <w:r>
        <w:rPr>
          <w:i/>
        </w:rPr>
        <w:t>weaker-association</w:t>
      </w:r>
      <w:r>
        <w:t xml:space="preserve">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lastRenderedPageBreak/>
              <w:t>4</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kāi</w:t>
            </w:r>
            <w:r>
              <w:br/>
              <w:t>“open”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sī-kāi</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2,810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chě</w:t>
            </w:r>
            <w:r>
              <w:br/>
              <w:t>“pull”</w:t>
            </w:r>
          </w:p>
        </w:tc>
        <w:tc>
          <w:tcPr>
            <w:tcW w:w="1368" w:type="dxa"/>
          </w:tcPr>
          <w:p w14:paraId="06139747" w14:textId="77777777" w:rsidR="009D4CF3" w:rsidRDefault="00000000">
            <w:pPr>
              <w:pStyle w:val="TableText"/>
              <w:keepNext/>
            </w:pPr>
            <w:r>
              <w:rPr>
                <w:i/>
              </w:rPr>
              <w:t>chě-kāi</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840ᵈ</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kāi</w:t>
            </w:r>
            <w:r>
              <w:br/>
              <w:t>“open”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jiā-kāi</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21</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chuí-kāi</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w:t>
            </w:r>
          </w:p>
        </w:tc>
      </w:tr>
    </w:tbl>
    <w:p w14:paraId="461146B5" w14:textId="764D5272" w:rsidR="009D4CF3" w:rsidRPr="0055050F" w:rsidRDefault="00000000">
      <w:pPr>
        <w:pStyle w:val="TableNote"/>
        <w:rPr>
          <w:rFonts w:eastAsiaTheme="minor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the stronger/weaker labels follow the original design. ᵇ Mostly figurative uses. </w:t>
      </w:r>
      <w:r>
        <w:rPr/>
        <w:t xml:space="preserve">ᶜ Includes many abstract uses. ᵈ Includes idiomatic uses such as </w:t>
      </w:r>
      <w:r>
        <w:rPr>
          <w:i/>
        </w:rPr>
        <w:t xml:space="preserve">chě-kāi sǎngzi</w:t>
      </w:r>
      <w:r>
        <w:rPr/>
        <w:t xml:space="preserve"> “pull-open throat,” “raise one’s voice.”</w:t>
      </w:r>
    </w:p>
    <w:p w14:paraId="1FD25982" w14:textId="3047BDFB" w:rsidR="009D4CF3" w:rsidRPr="0055050F" w:rsidRDefault="00000000">
      <w:pPr>
        <w:rPr>
          <w:rFonts w:eastAsiaTheme="minor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w:t>
      </w:r>
      <w:r>
        <w:rPr/>
        <w:t xml:space="preserve"> Figure 1 shows stills from the four videos of one pair.</w:t>
      </w:r>
      <w:r>
        <w:rPr>
          <w:highlight w:val="yellow"/>
        </w:rPr>
      </w:r>
      <w:proofErr w:type="spellStart"/>
      <w:r>
        <w:rPr>
          <w:highlight w:val="yellow"/>
        </w:rPr>
      </w:r>
      <w:proofErr w:type="spellEnd"/>
      <w:r>
        <w:rPr>
          <w:highlight w:val="yellow"/>
        </w:rPr>
      </w:r>
    </w:p>
    <w:p w14:paraId="1FD25982" w14:textId="3047BDFB" w:rsidR="009D4CF3" w:rsidRPr="0055050F" w:rsidRDefault="00000000">
      <w:pPr>
        <w:pStyle w:val="TableNumber"/>
      </w:pPr>
      <w:r>
        <w:rPr/>
        <w:t xml:space="preserve">Figure 1</w:t>
      </w:r>
    </w:p>
    <w:p w14:paraId="1FD25982" w14:textId="3047BDFB" w:rsidR="009D4CF3" w:rsidRPr="0055050F" w:rsidRDefault="00000000">
      <w:pPr>
        <w:pStyle w:val="TableTitle"/>
      </w:pPr>
      <w:r>
        <w:rPr>
          <w:i/>
        </w:rPr>
        <w:t xml:space="preserve">Stills From the Full-Result and Zero-Result Videos of Pair 2</w:t>
      </w:r>
    </w:p>
    <w:p w14:paraId="1FD25982" w14:textId="3047BDFB" w:rsidR="009D4CF3" w:rsidRPr="0055050F" w:rsidRDefault="00000000">
      <w:pPr>
        <w:keepNext/>
        <w:ind w:firstLine="0"/>
        <w:jc w:val="center"/>
      </w:pPr>
      <w:r>
        <w:drawing>
          <wp:inline xmlns:a="http://schemas.openxmlformats.org/drawingml/2006/main" xmlns:pic="http://schemas.openxmlformats.org/drawingml/2006/picture">
            <wp:extent cx="5486400" cy="3525964"/>
            <wp:docPr id="3" name="Picture 3"/>
            <wp:cNvGraphicFramePr>
              <a:graphicFrameLocks noChangeAspect="1"/>
            </wp:cNvGraphicFramePr>
            <a:graphic>
              <a:graphicData uri="http://schemas.openxmlformats.org/drawingml/2006/picture">
                <pic:pic>
                  <pic:nvPicPr>
                    <pic:cNvPr id="0" name="fig1_stills.png"/>
                    <pic:cNvPicPr/>
                  </pic:nvPicPr>
                  <pic:blipFill>
                    <a:blip r:embed="rId13"/>
                    <a:stretch>
                      <a:fillRect/>
                    </a:stretch>
                  </pic:blipFill>
                  <pic:spPr>
                    <a:xfrm>
                      <a:off x="0" y="0"/>
                      <a:ext cx="5486400" cy="3525964"/>
                    </a:xfrm>
                    <a:prstGeom prst="rect"/>
                  </pic:spPr>
                </pic:pic>
              </a:graphicData>
            </a:graphic>
          </wp:inline>
        </w:drawing>
      </w:r>
    </w:p>
    <w:p w14:paraId="1FD25982" w14:textId="3047BDFB" w:rsidR="009D4CF3" w:rsidRPr="0055050F" w:rsidRDefault="00000000">
      <w:pPr>
        <w:pStyle w:val="TableNote"/>
      </w:pPr>
      <w:r>
        <w:rPr>
          <w:i/>
        </w:rPr>
        <w:t xml:space="preserve">Note.</w:t>
      </w:r>
      <w:r>
        <w:rPr/>
        <w:t xml:space="preserve"> The actor flips (</w:t>
      </w:r>
      <w:r>
        <w:rPr>
          <w:i/>
        </w:rPr>
        <w:t xml:space="preserve">xiān</w:t>
      </w:r>
      <w:r>
        <w:rPr/>
        <w:t xml:space="preserve">) or slaps (</w:t>
      </w:r>
      <w:r>
        <w:rPr>
          <w:i/>
        </w:rPr>
        <w:t xml:space="preserve">pāi</w:t>
      </w:r>
      <w:r>
        <w:rPr/>
        <w:t xml:space="preserve">) a stool; the target result is </w:t>
      </w:r>
      <w:r>
        <w:rPr>
          <w:i/>
        </w:rPr>
        <w:t xml:space="preserve">fān</w:t>
      </w:r>
      <w:r>
        <w:rPr/>
        <w:t xml:space="preserve"> “overturned.” Stills show the start, middle, and end of each video.</w:t>
      </w:r>
    </w:p>
    <w:p w14:paraId="63C09C34" w14:textId="77777777" w:rsidR="009D4CF3" w:rsidRDefault="00000000">
      <w:pPr>
        <w:pStyle w:val="Heading2"/>
      </w:pPr>
      <w:r>
        <w:lastRenderedPageBreak/>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either the 10 videos of the stronger-association actions or the 10 videos of the weaker-association actions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xml:space="preserve">). The intended V1 </w:t>
      </w:r>
      <w:r>
        <w:rPr/>
        <w:t xml:space="preserve">appeared in 74% of first descriptions</w:t>
      </w:r>
      <w:r>
        <w:rPr/>
        <w:t xml:space="preserve"> and in 72% of all descriptions; when it did not appear, it was rated as natural (</w:t>
      </w:r>
      <w:r>
        <w:rPr>
          <w:i/>
        </w:rPr>
        <w:t>M</w:t>
      </w:r>
      <w:r>
        <w:t xml:space="preserve"> = 4.32, </w:t>
      </w:r>
      <w:r>
        <w:rPr>
          <w:i/>
        </w:rPr>
        <w:t>SD</w:t>
      </w:r>
      <w:r>
        <w:t xml:space="preserve"> = 0.79, range = 2.67–5).</w:t>
      </w:r>
      <w:r>
        <w:rPr/>
        <w:t xml:space="preserve"> Item-level values are given in Table S1 in the Supplemental Material.</w:t>
      </w:r>
      <w:r>
        <w:rPr>
          <w:highlight w:val="yellow"/>
        </w:rPr>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rPr>
      </w:pPr>
      <w:r>
        <w:t xml:space="preserve">Twenty native speakers of Mandarin (21–35 years, </w:t>
      </w:r>
      <w:r>
        <w:rPr>
          <w:i/>
        </w:rPr>
        <w:t>M</w:t>
      </w:r>
      <w:r>
        <w:t xml:space="preserve"> = 28.2</w:t>
      </w:r>
      <w:r>
        <w:rPr/>
        <w:t xml:space="preserve">; 9 female)</w:t>
      </w:r>
      <w:r>
        <w:rPr>
          <w:highlight w:val="yellow"/>
        </w:rPr>
      </w:r>
      <w:r>
        <w:t xml:space="preserve"> completed an online questionnaire of about 5 min, in which they rated each of the 20 V1–object expressions in two separate blocks. After a consent statement and questions about their language background (native language, frequency of Mandarin use, and English proficiency), they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Xiǎo Lǐ sī-le zhǐ</w:t>
      </w:r>
      <w:r>
        <w:t xml:space="preserve"> “Xiao Li tore the paper. How likely do you think it is that </w:t>
      </w:r>
      <w:r>
        <w:rPr/>
        <w:t xml:space="preserve">the paper ended up torn apart?</w:t>
      </w:r>
      <w:r>
        <w:rPr/>
        <w:t xml:space="preserve">” The instructions asked participants to judge, on the basis of the sentence and their everyday experience, how likely it was that the stated result eventually occurred. They </w:t>
      </w:r>
      <w:r>
        <w:lastRenderedPageBreak/>
        <w:t xml:space="preserve">typed a number from 0 to 100, where 0 was labeled </w:t>
      </w:r>
      <w:r>
        <w:rPr>
          <w:i/>
        </w:rPr>
        <w:t>cannot happen</w:t>
      </w:r>
      <w:r>
        <w:t xml:space="preserve"> and 100 </w:t>
      </w:r>
      <w:r>
        <w:rPr>
          <w:i/>
        </w:rPr>
        <w:t>will certainly happen</w:t>
      </w:r>
      <w:r>
        <w:t xml:space="preserve">. In the typicality block, the instructions stated that each item first named a result that someone wanted to achieve and then an action that could be used to achieve it, and asked participants to rate how typical the action was as a way of achieving that result, for example, “Suppose Xiao Li </w:t>
      </w:r>
      <w:r>
        <w:rPr/>
        <w:t xml:space="preserve">wants to crack the walnut open.</w:t>
      </w:r>
      <w:r>
        <w:rPr/>
        <w:t xml:space="preserve"> How typical is </w:t>
      </w:r>
      <w:r>
        <w:rPr>
          <w:i/>
        </w:rPr>
        <w:t>jiā hétao</w:t>
      </w:r>
      <w:r>
        <w:t xml:space="preserve"> ‘clamping the walnut’ as a way of doing this?” Responses were given on a 7-point scale whose endpoints were labeled 1 (</w:t>
      </w:r>
      <w:r>
        <w:rPr>
          <w:i/>
        </w:rPr>
        <w:t>very atypical</w:t>
      </w:r>
      <w:r>
        <w:t>) and 7 (</w:t>
      </w:r>
      <w:r>
        <w:rPr>
          <w:i/>
        </w:rPr>
        <w:t>very typical</w:t>
      </w:r>
      <w:r>
        <w:t>); the intermediate points were numbered but not labeled. The likelihood items thus presented each expression in the same perfective form as the V1 questions of Experiment 1. Because the ratings were collected for sentences naming the expressions, they characterize the action–result relation that each expression describes, not the particular videos.</w:t>
      </w:r>
    </w:p>
    <w:p w14:paraId="2E35A203" w14:textId="77777777" w:rsidR="009D4CF3" w:rsidRPr="00C77721" w:rsidRDefault="00000000">
      <w:pPr>
        <w:rPr>
          <w:rFonts w:eastAsiaTheme="minorEastAsia"/>
        </w:rPr>
      </w:pPr>
      <w:r>
        <w:t>Four lists were constructed, and five raters completed each list. In all lists, the 20 likelihood items preceded the 20 typicality items. Within each block, the 10 stronger-association expressions and the 10 weaker-association expressions were presented in separate halves, with the pairs in the same order in both halves, so that the two members of each pair were always separated by nine other items. The stronger-association expressions came first in Lists 1 and 3, and the weaker-association expressions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lastRenderedPageBreak/>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14:paraId="4A4868EC" w14:textId="77777777" w:rsidR="009D4CF3" w:rsidRDefault="00000000">
      <w:pPr>
        <w:pStyle w:val="Heading2"/>
      </w:pPr>
      <w:r>
        <w:t>Pair Selection</w:t>
      </w:r>
    </w:p>
    <w:p w14:paraId="56EE0139" w14:textId="77777777" w:rsidR="009D4CF3" w:rsidRDefault="00000000">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classified as stronger- or weaker-association actions. The two pairs remained in the experimental lists, so all participants saw all 10 pairs, but their trials are excluded from the analyses of Experiment 1. The original design included all </w:t>
      </w:r>
      <w:r>
        <w:lastRenderedPageBreak/>
        <w:t>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steps followed an inspection of the child data, analyses with all 10 pairs are reported alongside the main analyses of Experiment 1 (see Sensitivity Analyses).</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t xml:space="preserve">We also examined how conventional each RVC is. As noted in the Introduction, whether a V1 and a V2 combine depends on how the action named by V1 relates to the result named by V2. If the two actions in a pair differ in their association with the target result, this difference should also be reflected in the language, such that the RVC formed with the stronger-association V1 is the more conventional one. Corpus frequency thus provides a check on the contrast between the paired V1s that does not rely on the adult ratings, although conventionality concerns the RVC as an expression rather than the action–result relation itself. We therefore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w:t>
      </w:r>
      <w:r>
        <w:lastRenderedPageBreak/>
        <w:t xml:space="preserve">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w:t>
      </w:r>
      <w:r>
        <w:rPr/>
        <w:t xml:space="preserve">(e.g., </w:t>
      </w:r>
      <w:r>
        <w:rPr>
          <w:i/>
        </w:rPr>
        <w:t xml:space="preserve">chě-kāi sǎngzi</w:t>
      </w:r>
      <w:r>
        <w:rPr/>
        <w:t xml:space="preserve"> “pull-open throat,” “raise one’s voice”)</w:t>
      </w:r>
      <w:r>
        <w:rPr>
          <w:i/>
        </w:rPr>
      </w:r>
      <w:r>
        <w:t xml:space="preserv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14:paraId="70289CD3" w14:textId="77777777" w:rsidR="009D4CF3" w:rsidRDefault="00000000">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lastRenderedPageBreak/>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w:t>
      </w:r>
      <w:r>
        <w:rPr/>
        <w:t xml:space="preserve">(14 female; 4;0–4;10, </w:t>
      </w:r>
      <w:r>
        <w:rPr>
          <w:i/>
        </w:rPr>
        <w:t xml:space="preserve">M</w:t>
      </w:r>
      <w:r>
        <w:rPr/>
        <w:t xml:space="preserve"> = 4;7)</w:t>
      </w:r>
      <w:r>
        <w:rPr>
          <w:highlight w:val="yellow"/>
        </w:rPr>
      </w:r>
      <w:r>
        <w:t xml:space="preserve">, 32 five-year-olds </w:t>
      </w:r>
      <w:r>
        <w:rPr/>
        <w:t xml:space="preserve">(15 female; 5;0–5;11, </w:t>
      </w:r>
      <w:r>
        <w:rPr>
          <w:i/>
        </w:rPr>
        <w:t xml:space="preserve">M</w:t>
      </w:r>
      <w:r>
        <w:rPr/>
        <w:t xml:space="preserve"> = 5;5)</w:t>
      </w:r>
      <w:r>
        <w:rPr>
          <w:highlight w:val="yellow"/>
        </w:rPr>
      </w:r>
      <w:r>
        <w:t xml:space="preserve">, and 40 adults (18 female; </w:t>
      </w:r>
      <w:r>
        <w:rPr/>
        <w:t xml:space="preserve">18;4–37;3 years, </w:t>
      </w:r>
      <w:r>
        <w:rPr>
          <w:i/>
        </w:rPr>
        <w:t xml:space="preserve">M</w:t>
      </w:r>
      <w:r>
        <w:rPr/>
        <w:t xml:space="preserve"> = 23.1</w:t>
      </w:r>
      <w:r>
        <w:rPr>
          <w:i/>
        </w:rPr>
      </w:r>
      <w:r>
        <w:t>).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2808DBC4" w:rsidR="009D4CF3" w:rsidRDefault="00000000">
      <w:r>
        <w:t>Form (RVC vs. V1) and Action–Result Association (Stronger vs. Weaker) were manipulated between participants, and Result Realization (Full vs. Zero) within participants.</w:t>
      </w:r>
      <w:r w:rsidR="002014B3">
        <w:rPr>
          <w:rFonts w:eastAsiaTheme="minorEastAsia" w:hint="eastAsia"/>
        </w:rPr>
      </w:r>
      <w:r/>
      <w:r w:rsidR="002014B3">
        <w:rPr>
          <w:rFonts w:eastAsiaTheme="minorEastAsia" w:hint="eastAsia"/>
        </w:rPr>
      </w:r>
      <w:r/>
      <w:r w:rsidR="002014B3">
        <w:rPr>
          <w:rFonts w:eastAsiaTheme="minorEastAsia" w:hint="eastAsia"/>
        </w:rPr>
      </w:r>
      <w:r>
        <w:t xml:space="preserve"> Eight lists crossed four event lists with the two forms. Each event list contained one action from each of the 10 pairs, either all stronger-association or all weaker-association actions, with five videos in their full-result and five in their zero-result version; across the two event lists with the same actions,</w:t>
      </w:r>
      <w:r>
        <w:t xml:space="preserve">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the stronger-association actions, like those of the weaker-association actions, were judged by eight children per age group and 10 adults, and each V1 description in a given result condition by about four children per age group. Comparisons between stronger- and weaker-association V1s are therefore largely between participants, and item-level estimates are imprecise.</w:t>
      </w:r>
    </w:p>
    <w:p w14:paraId="56804D9F" w14:textId="77777777" w:rsidR="009D4CF3" w:rsidRDefault="00000000">
      <w:pPr>
        <w:pStyle w:val="Heading3"/>
      </w:pPr>
      <w:r>
        <w:t>Procedure</w:t>
      </w:r>
    </w:p>
    <w:p w14:paraId="132EAC99" w14:textId="77777777" w:rsidR="009D4CF3" w:rsidRDefault="00000000">
      <w:r/>
      <w:r>
        <w:rPr/>
        <w:t xml:space="preserve">Children and adults received the same instructions. They were told that they would watch short videos of everyday activities, that after each video the experimenter would say what they had seen, and that they should judge whether this was right or wrong. On the practice trial, which used a filler video, the experimenter said, </w:t>
      </w:r>
      <w:r>
        <w:rPr>
          <w:i/>
        </w:rPr>
        <w:t xml:space="preserve">Wǒ kàn-dào zài zhège shìpín lǐ, zhège nǚhái pā-xià le</w:t>
      </w:r>
      <w:r>
        <w:rPr/>
        <w:t xml:space="preserve"> “I saw in this video that this girl lay down,” asked whether this was right or wrong, and then asked, </w:t>
      </w:r>
      <w:r>
        <w:rPr>
          <w:i/>
        </w:rPr>
        <w:t xml:space="preserve">Zhège nǚhái pā-xià le ma?</w:t>
      </w:r>
      <w:r>
        <w:rPr/>
        <w:t xml:space="preserve"> “Did this girl lie down?” Participants answered in their own words, typically by repeating or negating the verb (e.g., </w:t>
      </w:r>
      <w:r>
        <w:rPr>
          <w:i/>
        </w:rPr>
        <w:t xml:space="preserve">pā-xià le</w:t>
      </w:r>
      <w:r>
        <w:rPr/>
        <w:t xml:space="preserve"> “lay down”; </w:t>
      </w:r>
      <w:r>
        <w:rPr>
          <w:i/>
        </w:rPr>
        <w:t xml:space="preserve">méi pā-xià</w:t>
      </w:r>
      <w:r>
        <w:rPr/>
        <w:t xml:space="preserve"> “did not lie down”), and their answers were coded as acceptance or rejection. Children were tested individually in a quiet room in their kindergarten. After each video, they heard the test question and answered orally,</w:t>
      </w:r>
      <w:r>
        <w:rPr/>
        <w:t xml:space="preserve"> and an experimenter recorded the response. If a child reported not having seen the video clearly or did not answer, the video was played once more. Adults were tested online in Gorilla (Anwyl-Irvine et al., 2020); </w:t>
      </w:r>
      <w:r>
        <w:rPr/>
        <w:t xml:space="preserve">they received the instructions orally from an experimenter and selected their answers themselves.</w:t>
      </w:r>
      <w:r>
        <w:rPr/>
        <w:t xml:space="preserve">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w:t>
      </w:r>
      <w:r>
        <w:lastRenderedPageBreak/>
        <w:t xml:space="preserve">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1BE25096" w:rsidR="009D4CF3" w:rsidRPr="002014B3" w:rsidRDefault="00000000">
      <w:pPr>
        <w:pStyle w:val="Heading3"/>
        <w:rPr>
          <w:rFonts w:eastAsiaTheme="minorEastAsia" w:hint="eastAsia"/>
        </w:rPr>
      </w:pPr>
      <w:r>
        <w:t>RVC and V1 Descriptions</w:t>
      </w:r>
      <w:r w:rsidR="002014B3">
        <w:rPr>
          <w:rFonts w:eastAsiaTheme="minorEastAsia" w:hint="eastAsia"/>
        </w:rPr>
      </w:r>
    </w:p>
    <w:p w14:paraId="30F5A172" w14:textId="77777777" w:rsidR="009D4CF3" w:rsidRDefault="00000000">
      <w:r>
        <w:t>The first model addresses RQ1. It includes Form (RVC vs. V1), Result Realization (Full vs. Zero), Age Group (4-year-olds, 5-year-olds, adults), and their interactions; V1 trials with stronger- and weaker-association V1s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The second model addresses RQ2 and uses V1 trials only. It includes Action–Result Association (Stronger vs. Weaker), Result Realization, Age Group, and their interactions. Random effects are intercepts for participants, items, and pairs; a by-participant slope for Result Realization; by-item slopes for Result Realization and Age Group; and a by-pair slope for Action–Result Association, which allows the difference between the two V1s of a pair to vary across pairs. The focal estimates are (a) the difference in acceptance between stronger- and weaker-association V1s in zero-result events in each age group (hereafter, the association effect); (b) the Action–Result Association × Result Realization interaction, which assesses whether the association effect is larger</w:t>
      </w:r>
      <w:r>
        <w:t xml:space="preserve"> in zero-result than in full-result events; and (c) the Action–Result Association × Age Group interaction in zero-result events, which assesses whether the association effect differs between children and adults. Because adult acceptance in zero-result events may approach ceiling, this interaction is reported both on the log-odds scale and as differences in predicted acceptance probability.</w:t>
      </w:r>
    </w:p>
    <w:p w14:paraId="2F78B3F5" w14:textId="77777777" w:rsidR="009D4CF3" w:rsidRDefault="00000000">
      <w:pPr>
        <w:pStyle w:val="Heading3"/>
      </w:pPr>
      <w:r>
        <w:t>Sensitivity Analyses</w:t>
      </w:r>
    </w:p>
    <w:p w14:paraId="449C9658" w14:textId="77777777" w:rsidR="009D4CF3" w:rsidRDefault="00000000">
      <w:r>
        <w:t xml:space="preserve">Three analyses assess whether the conclusions depend on the materials: (a) refitting both models with all 10 pairs, with the actions of Pairs 7 and 8 classified as stronger- or weaker-association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w:t>
      </w:r>
      <w:r>
        <w:rPr/>
        <w:t xml:space="preserve">These analyses are not used to select a preferred subset of items and are reported in the Supplemental Material (Section S2).</w:t>
      </w:r>
      <w:r>
        <w:rPr/>
        <w:t xml:space="preserve"> Acceptance of each V1 and RVC description is also reported </w:t>
      </w:r>
      <w:r>
        <w:rPr/>
        <w:t xml:space="preserve">by Result Realization for children and adults (Supplemental Material, Section S3),</w:t>
      </w:r>
      <w:r>
        <w:rPr/>
        <w:t xml:space="preserve"> to show whether the association effect is carried by most pairs or by a few.</w:t>
      </w:r>
    </w:p>
    <w:p w14:paraId="46408DBA" w14:textId="77777777" w:rsidR="009D4CF3" w:rsidRDefault="00000000">
      <w:pPr>
        <w:pStyle w:val="Heading2"/>
      </w:pPr>
      <w:r>
        <w:t>Results</w:t>
      </w:r>
    </w:p>
    <w:p w14:paraId="3589F7A8" w14:textId="77777777" w:rsidR="009D4CF3" w:rsidRDefault="00000000">
      <w:r>
        <w:rPr/>
        <w:t xml:space="preserve">Accuracy on filler trials was 100% for adults, 97% for 4-year-olds, and 95% for 5-year-olds, and no participant was excluded. The data comprise 1,040 critical responses, of which 832 belong to the eight retained pairs (416 RVC and 416 V1 trials). All models converged (R̂ ≤ 1.005; at most one divergent transition per model). Below, raw percentages are reported together with model-predicted acceptance (posterior medians with 95% credible intervals [CrIs], population-level predictions). Because the model predictions set item and participant effects to zero, they can differ from the raw percentages when acceptance varies strongly across items.</w:t>
      </w:r>
    </w:p>
    <w:p w14:paraId="3589F7A8" w14:textId="77777777" w:rsidR="009D4CF3" w:rsidRDefault="00000000">
      <w:pPr>
        <w:pStyle w:val="Heading3"/>
      </w:pPr>
      <w:r>
        <w:rPr/>
        <w:t xml:space="preserve">RVC and V1 Descriptions</w:t>
      </w:r>
    </w:p>
    <w:p w14:paraId="3589F7A8" w14:textId="77777777" w:rsidR="009D4CF3" w:rsidRDefault="00000000">
      <w:pPr/>
      <w:r>
        <w:rPr/>
        <w:t xml:space="preserve">Figure 2 shows acceptance by form, result realization, and age group. In full-result events, both forms were accepted at high rates in all groups (RVC descriptions: 92%–94%; V1 descriptions: 97%–100%). In zero-result events, RVC descriptions were rarely accepted (4-year-olds: 19%; 5-year-olds: 11%; adults: 1%), whereas V1 descriptions were accepted more often (55%, 58%, and 83%, respectively).</w:t>
      </w:r>
    </w:p>
    <w:p w14:paraId="3589F7A8" w14:textId="77777777" w:rsidR="009D4CF3" w:rsidRDefault="00000000">
      <w:pPr>
        <w:pStyle w:val="TableNumber"/>
      </w:pPr>
      <w:r>
        <w:rPr/>
        <w:t xml:space="preserve">Figure 2</w:t>
      </w:r>
    </w:p>
    <w:p w14:paraId="3589F7A8" w14:textId="77777777" w:rsidR="009D4CF3" w:rsidRDefault="00000000">
      <w:pPr>
        <w:pStyle w:val="TableTitle"/>
      </w:pPr>
      <w:r>
        <w:rPr>
          <w:i/>
        </w:rPr>
        <w:t xml:space="preserve">Acceptance of RVC and V1 Descriptions by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1" name="Picture 1"/>
            <wp:cNvGraphicFramePr>
              <a:graphicFrameLocks noChangeAspect="1"/>
            </wp:cNvGraphicFramePr>
            <a:graphic>
              <a:graphicData uri="http://schemas.openxmlformats.org/drawingml/2006/picture">
                <pic:pic>
                  <pic:nvPicPr>
                    <pic:cNvPr id="0" name="fig2_comprehension.png"/>
                    <pic:cNvPicPr/>
                  </pic:nvPicPr>
                  <pic:blipFill>
                    <a:blip r:embed="rId11"/>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full–zero difference in predicted acceptance was large for RVC descriptions in all groups (4-year-olds: 0.89, 95% CrI [0.69, 0.97]; 5-year-olds: 0.94 [0.82, 0.99]; adults: 0.98 [0.90, 1.00]) and smaller for V1 descriptions (0.41 [0.12, 0.77], 0.33 [0.08, 0.69], and 0.04 [0.00, 0.19], respectively). On the probability scale, the difference between these two differences was positive in each group (4-year-olds: 0.46 [0.12, 0.75]; 5-year-olds: 0.60 [0.24, 0.85]; adults: 0.93 [0.77, 0.98]). On the log-odds scale, the Form × Result Realization interaction was probably positive for 5-year-olds (2.70 [−0.36, 5.74], posterior probability of a positive effect, </w:t>
      </w:r>
      <w:r>
        <w:rPr>
          <w:i/>
        </w:rPr>
        <w:t xml:space="preserve">p</w:t>
      </w:r>
      <w:r>
        <w:rPr/>
        <w:t xml:space="preserve">(&gt; 0) = .96) and adults (6.31 [−0.28, 11.83], </w:t>
      </w:r>
      <w:r>
        <w:rPr>
          <w:i/>
        </w:rPr>
        <w:t xml:space="preserve">p</w:t>
      </w:r>
      <w:r>
        <w:rPr/>
        <w:t xml:space="preserve">(&gt; 0) = .97), although both intervals include zero, and uncertain for 4-year-olds (0.53 [−2.90, 3.42], </w:t>
      </w:r>
      <w:r>
        <w:rPr>
          <w:i/>
        </w:rPr>
        <w:t xml:space="preserve">p</w:t>
      </w:r>
      <w:r>
        <w:rPr/>
        <w:t xml:space="preserve">(&gt; 0) = .63). The interaction was smaller in children than in adults (difference in log-odds: −4.69 [−10.65, 2.15], </w:t>
      </w:r>
      <w:r>
        <w:rPr>
          <w:i/>
        </w:rPr>
        <w:t xml:space="preserve">p</w:t>
      </w:r>
      <w:r>
        <w:rPr/>
        <w:t xml:space="preserve">(&lt; 0) = .92), and somewhat larger in 5- than in 4-year-olds (2.20 [−1.73, 6.39], </w:t>
      </w:r>
      <w:r>
        <w:rPr>
          <w:i/>
        </w:rPr>
        <w:t xml:space="preserve">p</w:t>
      </w:r>
      <w:r>
        <w:rPr/>
        <w:t xml:space="preserve">(&gt; 0) = .86); both comparisons have wide intervals.</w:t>
      </w:r>
    </w:p>
    <w:p w14:paraId="3589F7A8" w14:textId="77777777" w:rsidR="009D4CF3" w:rsidRDefault="00000000">
      <w:pPr/>
      <w:r>
        <w:rPr/>
        <w:t xml:space="preserve">The age differences were located mainly in zero-result events. Children accepted V1 descriptions of zero-result events less often than adults (difference in predicted acceptance: 0.33 [0.11, 0.62], </w:t>
      </w:r>
      <w:r>
        <w:rPr>
          <w:i/>
        </w:rPr>
        <w:t xml:space="preserve">p</w:t>
      </w:r>
      <w:r>
        <w:rPr/>
        <w:t xml:space="preserve">(&gt; 0) &gt; .99) and accepted RVC descriptions of these events slightly more often (0.05 [0.01, 0.17], </w:t>
      </w:r>
      <w:r>
        <w:rPr>
          <w:i/>
        </w:rPr>
        <w:t xml:space="preserve">p</w:t>
      </w:r>
      <w:r>
        <w:rPr/>
        <w:t xml:space="preserve">(&gt; 0) &gt; .99). Thus, by 4 years of age, children rejected RVC descriptions of zero-result events in most cases and accepted V1 descriptions of these events more often than RVC descriptions, but less often than adults did.</w:t>
      </w:r>
    </w:p>
    <w:p w14:paraId="3589F7A8" w14:textId="77777777" w:rsidR="009D4CF3" w:rsidRDefault="00000000">
      <w:pPr>
        <w:pStyle w:val="Heading3"/>
      </w:pPr>
      <w:r>
        <w:rPr/>
        <w:t xml:space="preserve">Stronger- and Weaker-Association V1s</w:t>
      </w:r>
    </w:p>
    <w:p w14:paraId="3589F7A8" w14:textId="77777777" w:rsidR="009D4CF3" w:rsidRDefault="00000000">
      <w:pPr/>
      <w:r>
        <w:rPr/>
        <w:t xml:space="preserve">Figure 3 shows acceptance of V1 descriptions by association, result realization, and age group. In full-result events, V1 descriptions were accepted almost always (94%–100%). In zero-result events, descriptions with stronger-association V1s were accepted less often than descriptions with weaker-association V1s in every group (4-year-olds: 31% vs. 78%; 5-year-olds: 41% vs. 75%; adults: 68% vs. 98%).</w:t>
      </w:r>
    </w:p>
    <w:p w14:paraId="3589F7A8" w14:textId="77777777" w:rsidR="009D4CF3" w:rsidRDefault="00000000">
      <w:pPr>
        <w:pStyle w:val="TableNumber"/>
      </w:pPr>
      <w:r>
        <w:rPr/>
        <w:t xml:space="preserve">Figure 3</w:t>
      </w:r>
    </w:p>
    <w:p w14:paraId="3589F7A8" w14:textId="77777777" w:rsidR="009D4CF3" w:rsidRDefault="00000000">
      <w:pPr>
        <w:pStyle w:val="TableTitle"/>
      </w:pPr>
      <w:r>
        <w:rPr>
          <w:i/>
        </w:rPr>
        <w:t xml:space="preserve">Acceptance of V1 Descriptions by Action–Result Association,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2" name="Picture 2"/>
            <wp:cNvGraphicFramePr>
              <a:graphicFrameLocks noChangeAspect="1"/>
            </wp:cNvGraphicFramePr>
            <a:graphic>
              <a:graphicData uri="http://schemas.openxmlformats.org/drawingml/2006/picture">
                <pic:pic>
                  <pic:nvPicPr>
                    <pic:cNvPr id="0" name="fig3_association.png"/>
                    <pic:cNvPicPr/>
                  </pic:nvPicPr>
                  <pic:blipFill>
                    <a:blip r:embed="rId12"/>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association effect in zero-result events was positive in all three groups, with intervals excluding zero for 4-year-olds and adults and only marginally including it for 5-year-olds (difference in log-odds, weaker minus stronger: 4-year-olds: 3.94 [0.46, 7.95], </w:t>
      </w:r>
      <w:r>
        <w:rPr>
          <w:i/>
        </w:rPr>
        <w:t xml:space="preserve">p</w:t>
      </w:r>
      <w:r>
        <w:rPr/>
        <w:t xml:space="preserve">(&gt; 0) = .99; 5-year-olds: 2.87 [−0.49, 6.48], </w:t>
      </w:r>
      <w:r>
        <w:rPr>
          <w:i/>
        </w:rPr>
        <w:t xml:space="preserve">p</w:t>
      </w:r>
      <w:r>
        <w:rPr/>
        <w:t xml:space="preserve">(&gt; 0) = .96; adults: 4.55 [0.69, 9.21], </w:t>
      </w:r>
      <w:r>
        <w:rPr>
          <w:i/>
        </w:rPr>
        <w:t xml:space="preserve">p</w:t>
      </w:r>
      <w:r>
        <w:rPr/>
        <w:t xml:space="preserve">(&gt; 0) = .99; averaged over groups: 3.80 [1.12, 6.84], </w:t>
      </w:r>
      <w:r>
        <w:rPr>
          <w:i/>
        </w:rPr>
        <w:t xml:space="preserve">p</w:t>
      </w:r>
      <w:r>
        <w:rPr/>
        <w:t xml:space="preserve">(&gt; 0) &gt; .99). In full-result events, the association effect was negligible (differences in predicted acceptance ≤ 0.01). The Action–Result Association × Result Realization interaction was positive in all groups but uncertain because acceptance was at ceiling in full-result events (log-odds: 1.49 [−5.39, 8.04], −0.13 [−6.75, 5.75], and 4.46 [−3.54, 12.64]).</w:t>
      </w:r>
    </w:p>
    <w:p w14:paraId="3589F7A8" w14:textId="77777777" w:rsidR="009D4CF3" w:rsidRDefault="00000000">
      <w:pPr/>
      <w:r>
        <w:rPr/>
        <w:t xml:space="preserve">The association effect did not differ credibly between children and adults. On the log-odds scale, the effect was, if anything, smaller in children (difference: −1.13 [−5.57, 2.91], </w:t>
      </w:r>
      <w:r>
        <w:rPr>
          <w:i/>
        </w:rPr>
        <w:t xml:space="preserve">p</w:t>
      </w:r>
      <w:r>
        <w:rPr/>
        <w:t xml:space="preserve">(&gt; 0) = .29); on the probability scale, it was larger in children (0.31 [−0.30, 0.73], </w:t>
      </w:r>
      <w:r>
        <w:rPr>
          <w:i/>
        </w:rPr>
        <w:t xml:space="preserve">p</w:t>
      </w:r>
      <w:r>
        <w:rPr/>
        <w:t xml:space="preserve">(&gt; 0) = .86), because adults’ acceptance of weaker-association V1s was close to ceiling. Both intervals include zero and sizable effects in either direction, so the comparison is inconclusive. The effect also did not differ between 4- and 5-year-olds (−1.05 [−5.23, 2.80]). Children accepted V1 descriptions of zero-result events less often than adults for both stronger-association V1s (difference in predicted acceptance: 0.47 [0.02, 0.82], </w:t>
      </w:r>
      <w:r>
        <w:rPr>
          <w:i/>
        </w:rPr>
        <w:t xml:space="preserve">p</w:t>
      </w:r>
      <w:r>
        <w:rPr/>
        <w:t xml:space="preserve">(&gt; 0) = .98) and weaker-association V1s (0.12 [0.01, 0.55], </w:t>
      </w:r>
      <w:r>
        <w:rPr>
          <w:i/>
        </w:rPr>
        <w:t xml:space="preserve">p</w:t>
      </w:r>
      <w:r>
        <w:rPr/>
        <w:t xml:space="preserve">(&gt; 0) = .99). Children and adults were thus both sensitive to action–result association, and children’s stricter judgments held regardless of association.</w:t>
      </w:r>
    </w:p>
    <w:p w14:paraId="3589F7A8" w14:textId="77777777" w:rsidR="009D4CF3" w:rsidRDefault="00000000">
      <w:pPr/>
      <w:r>
        <w:rPr/>
        <w:t xml:space="preserve">Sensitivity analyses with all 10 pairs, with each pair left out in turn, with the verb–video correspondence values as a covariate, and with frequentist models led to the same conclusions (Supplemental Material, Section S2). Acceptance of each RVC and V1 description is reported in Section S3 of the Supplemental Material. In zero-result events, the stronger-association V1 was accepted less often than its weaker-association partner in seven of the eight pairs by children and in six by adults, so the association effect was carried by most pairs rather than by one or two.</w:t>
      </w:r>
    </w:p>
    <w:p w14:paraId="47B35AA9" w14:textId="77777777" w:rsidR="009D4CF3" w:rsidRDefault="00000000">
      <w:pPr>
        <w:pStyle w:val="Heading1"/>
      </w:pPr>
      <w:r>
        <w:lastRenderedPageBreak/>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w:t>
      </w:r>
      <w:r>
        <w:rPr/>
        <w:t xml:space="preserve">(14 female; 4;0–4;11, </w:t>
      </w:r>
      <w:r>
        <w:rPr>
          <w:i/>
        </w:rPr>
        <w:t xml:space="preserve">M</w:t>
      </w:r>
      <w:r>
        <w:rPr/>
        <w:t xml:space="preserve"> = 4;4)</w:t>
      </w:r>
      <w:r>
        <w:rPr>
          <w:highlight w:val="yellow"/>
        </w:rPr>
      </w:r>
      <w:r>
        <w:t xml:space="preserve">, 32 five-year-olds </w:t>
      </w:r>
      <w:r>
        <w:rPr/>
        <w:t xml:space="preserve">(18 female; 5;0–5;11, </w:t>
      </w:r>
      <w:r>
        <w:rPr>
          <w:i/>
        </w:rPr>
        <w:t xml:space="preserve">M</w:t>
      </w:r>
      <w:r>
        <w:rPr/>
        <w:t xml:space="preserve"> = 5;5)</w:t>
      </w:r>
      <w:r>
        <w:rPr>
          <w:highlight w:val="yellow"/>
        </w:rPr>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either the 10 stronger-association or the 10 weaker-association actions, five in their full-result and five in their zero-result version, together with the eight filler videos (one practice and seven test trials). Four further lists presented the same videos in reverse order, yielding eight lists. Participants were randomly assigned to lists, </w:t>
      </w:r>
      <w:r>
        <w:rPr/>
        <w:t xml:space="preserve">watched each video, and described it. Children were told that they would play a question-and-answer game. Before the test trials, they were familiarized with three of the objects (a candle, a lychee, and a walnut). After each video, the experimenter asked, </w:t>
      </w:r>
      <w:r>
        <w:rPr>
          <w:i/>
        </w:rPr>
        <w:t xml:space="preserve">Nǐ kàn-dào le shénme ya?</w:t>
      </w:r>
      <w:r>
        <w:rPr/>
        <w:t xml:space="preserve"> “What did you see?” If a child responded with a verb, no further question was asked. If a child named only an object, the experimenter asked, </w:t>
      </w:r>
      <w:r>
        <w:rPr>
          <w:i/>
        </w:rPr>
        <w:t xml:space="preserve">Nà zhège rén zài zuò shénme ya?</w:t>
      </w:r>
      <w:r>
        <w:rPr/>
        <w:t xml:space="preserve"> “Then what is this person doing?” If a child said that they did not know, the video was played again and the first question repeated; trials on which the child still did not know were not analyzed. Adults were told that they would watch short videos of everyday activities and should describe in one sentence what they saw in each video. The experimenter demonstrated the task with a filler video (</w:t>
      </w:r>
      <w:r>
        <w:rPr>
          <w:i/>
        </w:rPr>
        <w:t xml:space="preserve">Yí ge nǚhái pā-xià le</w:t>
      </w:r>
      <w:r>
        <w:rPr/>
        <w:t xml:space="preserve"> “A girl lay down”).</w:t>
      </w:r>
      <w:r>
        <w:rPr>
          <w:highlight w:val="yellow"/>
        </w:rPr>
      </w:r>
      <w:r>
        <w:t xml:space="preserve"> Children responded orally, and an experimenter transcribed their responses; adults typed their descriptions online. Because response modality differed between children and adults, child–adult differences are interpreted with caution.</w:t>
      </w:r>
    </w:p>
    <w:p w14:paraId="274AAEA5" w14:textId="44CFA0F9" w:rsidR="009D4CF3" w:rsidRDefault="00000000">
      <w:r>
        <w:t xml:space="preserve">All 10 pairs are included in the analyses of Experiment 2, because these analyses compare result conditions and do not require the actions to be classified as stronger- or weaker-association. Analyses restricted to the eight retained pairs are reported as a sensitivity check. </w:t>
      </w:r>
    </w:p>
    <w:p w14:paraId="771AA536" w14:textId="77777777" w:rsidR="009D4CF3" w:rsidRDefault="00000000">
      <w:pPr>
        <w:pStyle w:val="Heading3"/>
      </w:pPr>
      <w:r>
        <w:t>Coding</w:t>
      </w:r>
    </w:p>
    <w:p w14:paraId="54410E70" w14:textId="53DC4854" w:rsidR="009D4CF3" w:rsidRDefault="00000000">
      <w:r>
        <w:t>The coding unit is the complete response to a video, including information expressed across clauses. Responses were recoded from the transcripts for the present analyses.</w:t>
      </w:r>
      <w:r w:rsidR="00055864">
        <w:rPr>
          <w:rFonts w:eastAsiaTheme="minorEastAsia" w:hint="eastAsia"/>
        </w:rPr>
        <w:t xml:space="preserve"> </w:t>
      </w:r>
      <w:r/>
      <w:r>
        <w:rPr/>
        <w:t xml:space="preserve">Trials without a recorded response are excluded and reported. In the present draft, responses were coded with item-specific lists of V1s, V2s, and equivalent result expressions, together with rules for negation and attempt verbs (e.g., </w:t>
      </w:r>
      <w:r>
        <w:rPr>
          <w:i/>
        </w:rPr>
        <w:t xml:space="preserve">shìtú</w:t>
      </w:r>
      <w:r>
        <w:rPr/>
        <w:t xml:space="preserve"> “try”). </w:t>
      </w:r>
      <w:r>
        <w:rPr>
          <w:highlight w:val="yellow"/>
        </w:rPr>
        <w:t xml:space="preserve">[规则编码初稿：需人工逐条核对，并由第二编码者独立编码 20% 的回答后报告一致性]</w:t>
      </w:r>
    </w:p>
    <w:p w14:paraId="5ED3C869" w14:textId="77777777" w:rsidR="009D4CF3" w:rsidRDefault="00000000">
      <w:r>
        <w:rPr>
          <w:b/>
        </w:rPr>
        <w:lastRenderedPageBreak/>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4AFE84E9" w:rsidR="009D4CF3" w:rsidRDefault="00000000">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w:t>
      </w:r>
      <w:r>
        <w:rPr>
          <w:highlight w:val="yellow"/>
        </w:rPr>
      </w:r>
      <w:r w:rsidR="00055864">
        <w:rPr>
          <w:rFonts w:eastAsiaTheme="minorEastAsia" w:hint="eastAsia"/>
          <w:highlight w:val="yellow"/>
        </w:rPr>
      </w:r>
      <w:r w:rsidR="00055864">
        <w:rPr>
          <w:rFonts w:ascii="SimSun" w:eastAsia="SimSun" w:hAnsi="SimSun" w:cs="SimSun" w:hint="eastAsia"/>
          <w:highlight w:val="yellow"/>
        </w:rPr>
      </w:r>
      <w:proofErr w:type="spellStart"/>
      <w:r>
        <w:rPr>
          <w:highlight w:val="yellow"/>
        </w:rPr>
      </w:r>
      <w:proofErr w:type="spellEnd"/>
      <w:r>
        <w:rPr>
          <w:highlight w:val="yellow"/>
        </w:rPr>
      </w:r>
      <w:proofErr w:type="spellStart"/>
      <w:r>
        <w:rPr>
          <w:highlight w:val="yellow"/>
        </w:rPr>
      </w:r>
      <w:proofErr w:type="spellEnd"/>
      <w:r>
        <w:rPr>
          <w:highlight w:val="yellow"/>
        </w:rPr>
      </w:r>
      <w:r>
        <w:t xml:space="preserve"> Whether a mentioned result is affirmed or denied is recorded, so that responses affirming the target result in a zero-result event can be identified.</w:t>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w:t>
      </w:r>
      <w:r>
        <w:t xml:space="preserve">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w:t>
      </w:r>
      <w:r>
        <w:rPr/>
        <w:t xml:space="preserve">descriptively, because several cells contain few responses.</w:t>
      </w:r>
      <w:r>
        <w:rPr>
          <w:highlight w:val="yellow"/>
        </w:rPr>
      </w:r>
      <w:r>
        <w:t xml:space="preserve"> </w:t>
      </w:r>
      <w:r>
        <w:rPr/>
        <w:t xml:space="preserve">Responses that affirm the target result in zero-result events are counted by age group. The two models are also refitted with the eight retained pairs.</w:t>
      </w:r>
      <w:r>
        <w:rPr/>
        <w:t xml:space="preserve"> The adult ratings are not used in these analyses.</w:t>
      </w:r>
    </w:p>
    <w:p w14:paraId="3898C00B" w14:textId="77777777" w:rsidR="009D4CF3" w:rsidRDefault="00000000">
      <w:pPr>
        <w:pStyle w:val="Heading2"/>
      </w:pPr>
      <w:r>
        <w:t>Results</w:t>
      </w:r>
    </w:p>
    <w:p w14:paraId="570C2E60" w14:textId="326EE807" w:rsidR="009D4CF3" w:rsidRDefault="00000000">
      <w:proofErr w:type="spellStart"/>
      <w:proofErr w:type="spellEnd"/>
      <w:r>
        <w:rPr/>
        <w:t xml:space="preserve">Ten child trials (seven from 4-year-olds and three from 5-year-olds) had no recorded response and are excluded, leaving 1,030 responses (4-year-olds: 313; 5-year-olds: 317; adults: 400). Both models converged (R̂ ≤ 1.003, no divergent transitions). Figure 4 shows the proportions of responses that contained an RVC and that mentioned the target result, and Table 2 shows the distribution of response categories.</w:t>
      </w:r>
    </w:p>
    <w:p w14:paraId="570C2E60" w14:textId="326EE807" w:rsidR="009D4CF3" w:rsidRDefault="00000000">
      <w:pPr>
        <w:pStyle w:val="TableNumber"/>
      </w:pPr>
      <w:r>
        <w:rPr/>
        <w:t xml:space="preserve">Figure 4</w:t>
      </w:r>
    </w:p>
    <w:p w14:paraId="570C2E60" w14:textId="326EE807" w:rsidR="009D4CF3" w:rsidRDefault="00000000">
      <w:pPr>
        <w:pStyle w:val="TableTitle"/>
      </w:pPr>
      <w:r>
        <w:rPr>
          <w:i/>
        </w:rPr>
        <w:t xml:space="preserve">Proportion of Responses Containing an RVC and of Responses Mentioning the Target Result (Experiment 2)</w:t>
      </w:r>
    </w:p>
    <w:p w14:paraId="570C2E60" w14:textId="326EE807" w:rsidR="009D4CF3" w:rsidRDefault="00000000">
      <w:pPr>
        <w:keepNext/>
        <w:ind w:firstLine="0"/>
        <w:jc w:val="center"/>
      </w:pPr>
      <w:r>
        <w:drawing>
          <wp:inline xmlns:a="http://schemas.openxmlformats.org/drawingml/2006/main" xmlns:pic="http://schemas.openxmlformats.org/drawingml/2006/picture">
            <wp:extent cx="5486400" cy="6752492"/>
            <wp:docPr id="4" name="Picture 4"/>
            <wp:cNvGraphicFramePr>
              <a:graphicFrameLocks noChangeAspect="1"/>
            </wp:cNvGraphicFramePr>
            <a:graphic>
              <a:graphicData uri="http://schemas.openxmlformats.org/drawingml/2006/picture">
                <pic:pic>
                  <pic:nvPicPr>
                    <pic:cNvPr id="0" name="fig5_production.png"/>
                    <pic:cNvPicPr/>
                  </pic:nvPicPr>
                  <pic:blipFill>
                    <a:blip r:embed="rId14"/>
                    <a:stretch>
                      <a:fillRect/>
                    </a:stretch>
                  </pic:blipFill>
                  <pic:spPr>
                    <a:xfrm>
                      <a:off x="0" y="0"/>
                      <a:ext cx="5486400" cy="6752492"/>
                    </a:xfrm>
                    <a:prstGeom prst="rect"/>
                  </pic:spPr>
                </pic:pic>
              </a:graphicData>
            </a:graphic>
          </wp:inline>
        </w:drawing>
      </w:r>
    </w:p>
    <w:p w14:paraId="570C2E60" w14:textId="326EE807" w:rsidR="009D4CF3" w:rsidRDefault="00000000">
      <w:pPr>
        <w:pStyle w:val="TableNote"/>
      </w:pPr>
      <w:r>
        <w:rPr>
          <w:i/>
        </w:rPr>
        <w:t xml:space="preserve">Note.</w:t>
      </w:r>
      <w:r>
        <w:rPr/>
        <w:t xml:space="preserve"> All 10 pairs. Small points show proportions for individual participants, and diamonds show group means.</w:t>
      </w:r>
    </w:p>
    <w:p w14:paraId="570C2E60" w14:textId="326EE807" w:rsidR="009D4CF3" w:rsidRDefault="00000000">
      <w:pPr>
        <w:pStyle w:val="Heading3"/>
      </w:pPr>
      <w:r>
        <w:rPr/>
        <w:t xml:space="preserve">RVC Use</w:t>
      </w:r>
    </w:p>
    <w:p w14:paraId="570C2E60" w14:textId="326EE807" w:rsidR="009D4CF3" w:rsidRDefault="00000000">
      <w:pPr/>
      <w:r>
        <w:rPr/>
        <w:t xml:space="preserve">Responses contained an RVC more often for full-result than for zero-result events in all groups (4-year-olds: 15% vs. 9%; 5-year-olds: 29% vs. 10%; adults: 56% vs. 29%). In the model, this difference was credible for 5-year-olds (log-odds: 1.92, 95% CrI [0.82, 3.13], </w:t>
      </w:r>
      <w:r>
        <w:rPr>
          <w:i/>
        </w:rPr>
        <w:t xml:space="preserve">p</w:t>
      </w:r>
      <w:r>
        <w:rPr/>
        <w:t xml:space="preserve">(&gt; 0) &gt; .99) and adults (1.87 [0.97, 2.84], </w:t>
      </w:r>
      <w:r>
        <w:rPr>
          <w:i/>
        </w:rPr>
        <w:t xml:space="preserve">p</w:t>
      </w:r>
      <w:r>
        <w:rPr/>
        <w:t xml:space="preserve">(&gt; 0) &gt; .99) but uncertain for 4-year-olds (0.81 [−0.37, 2.01], </w:t>
      </w:r>
      <w:r>
        <w:rPr>
          <w:i/>
        </w:rPr>
        <w:t xml:space="preserve">p</w:t>
      </w:r>
      <w:r>
        <w:rPr/>
        <w:t xml:space="preserve">(&gt; 0) = .92), who produced few RVCs in either condition. On the log-odds scale, the effect of result realization did not differ credibly between children and adults (−0.50 [−1.57, 0.54]). Adults produced RVCs more often than children (difference in predicted proportion, averaged over result conditions: 0.30 [0.15, 0.46]), and 5-year-olds slightly more often than 4-year-olds (0.06 [0.00, 0.17]). RVCs in zero-result events usually appeared in negated or potential forms (e.g., </w:t>
      </w:r>
      <w:r>
        <w:rPr>
          <w:i/>
        </w:rPr>
        <w:t xml:space="preserve">méi zá-kāi</w:t>
      </w:r>
      <w:r>
        <w:rPr/>
        <w:t xml:space="preserve"> “did not smash open”; </w:t>
      </w:r>
      <w:r>
        <w:rPr>
          <w:i/>
        </w:rPr>
        <w:t xml:space="preserve">qiāo bù kāi</w:t>
      </w:r>
      <w:r>
        <w:rPr/>
        <w:t xml:space="preserve"> “knock-cannot-open”) or, in adults, as the object of an attempt verb (e.g., </w:t>
      </w:r>
      <w:r>
        <w:rPr>
          <w:i/>
        </w:rPr>
        <w:t xml:space="preserve">shìtú sī-kāi</w:t>
      </w:r>
      <w:r>
        <w:rPr/>
        <w:t xml:space="preserve"> “tried to tear open”).</w:t>
      </w:r>
    </w:p>
    <w:p w14:paraId="570C2E60" w14:textId="326EE807" w:rsidR="009D4CF3" w:rsidRDefault="00000000">
      <w:pPr>
        <w:pStyle w:val="Heading3"/>
      </w:pPr>
      <w:r>
        <w:rPr/>
        <w:t xml:space="preserve">Mention of the Target Result</w:t>
      </w:r>
    </w:p>
    <w:p w14:paraId="570C2E60" w14:textId="326EE807" w:rsidR="009D4CF3" w:rsidRDefault="00000000">
      <w:pPr/>
      <w:r>
        <w:rPr/>
        <w:t xml:space="preserve">The target result was mentioned more often for full-result than for zero-result events in all groups (4-year-olds: 29% vs. 12%; 5-year-olds: 40% vs. 11%; adults: 67% vs. 28%). The difference was credible in each group (log-odds: 1.43 [0.28, 2.67], </w:t>
      </w:r>
      <w:r>
        <w:rPr>
          <w:i/>
        </w:rPr>
        <w:t xml:space="preserve">p</w:t>
      </w:r>
      <w:r>
        <w:rPr/>
        <w:t xml:space="preserve">(&gt; 0) = .99; 2.32 [1.20, 3.59], </w:t>
      </w:r>
      <w:r>
        <w:rPr>
          <w:i/>
        </w:rPr>
        <w:t xml:space="preserve">p</w:t>
      </w:r>
      <w:r>
        <w:rPr/>
        <w:t xml:space="preserve">(&gt; 0) &gt; .99; and 2.74 [1.65, 3.87], </w:t>
      </w:r>
      <w:r>
        <w:rPr>
          <w:i/>
        </w:rPr>
        <w:t xml:space="preserve">p</w:t>
      </w:r>
      <w:r>
        <w:rPr/>
        <w:t xml:space="preserve">(&gt; 0) &gt; .99, respectively), and it tended to be smaller in children than in adults (−0.84 [−1.75, 0.03]). Adults mentioned the target result more often than children (0.27 [0.15, 0.39]). In zero-result events, adults who mentioned the target result usually denied it (20% of zero-result responses) or presented it as the actor’s goal (7%); children denied it in 8% of zero-result responses. Responses affirming the target result in a zero-result event were rare (4-year-olds: 5 responses, 3%; 5-year-olds: 6, 4%; adults: 2, 1%).</w:t>
      </w:r>
    </w:p>
    <w:p w14:paraId="570C2E60" w14:textId="326EE807" w:rsidR="009D4CF3" w:rsidRDefault="00000000">
      <w:pPr>
        <w:pStyle w:val="Heading3"/>
      </w:pPr>
      <w:r>
        <w:rPr/>
        <w:t xml:space="preserve">Response Categories</w:t>
      </w:r>
    </w:p>
    <w:p w14:paraId="570C2E60" w14:textId="326EE807" w:rsidR="009D4CF3" w:rsidRDefault="00000000">
      <w:pPr/>
      <w:r>
        <w:rPr/>
        <w:t xml:space="preserve">Among responses without an RVC (Table 2), action-only responses predominated in all groups and in both result conditions (67%–90%). In full-result events, children’s descriptions more often named the action alone than adults’ (all responses: 62% and 53% vs. 31%), whereas responses expressing the action and the target result in separate predicates (e.g., </w:t>
      </w:r>
      <w:r>
        <w:rPr>
          <w:i/>
        </w:rPr>
        <w:t xml:space="preserve">huīwǔ-le jǐ xià, làzhú miè le</w:t>
      </w:r>
      <w:r>
        <w:rPr/>
        <w:t xml:space="preserve"> “waved it a few times, and the candle went out”) made up 13%–14% of children’s and 26% of adults’ responses without an RVC. Responses mentioning only the target result were rare (0%–6%). Thus, children did not express the target result in separate predicates or without the action more often than adults; their lower RVC use went together with less frequent mention of the result. In zero-result events, separate-predicate and result-only responses were rare in all groups (≤ 5% of responses without an RVC). Because several cells contain few responses, these proportions are reported descriptively.</w:t>
      </w:r>
    </w:p>
    <w:p w14:paraId="570C2E60" w14:textId="326EE807" w:rsidR="009D4CF3" w:rsidRDefault="00000000">
      <w:pPr>
        <w:pStyle w:val="TableNumber"/>
      </w:pPr>
      <w:r>
        <w:rPr/>
        <w:t xml:space="preserve">Table 2</w:t>
      </w:r>
    </w:p>
    <w:p w14:paraId="570C2E60" w14:textId="326EE807" w:rsidR="009D4CF3" w:rsidRDefault="00000000">
      <w:pPr>
        <w:pStyle w:val="TableTitle"/>
      </w:pPr>
      <w:r>
        <w:rPr>
          <w:i/>
        </w:rPr>
        <w:t xml:space="preserve">Response Categories by Result Realization and Age Group in Experiment 2 (Percentages of Responses)</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Borders>
              <w:bottom w:val="single" w:sz="4" w:space="0" w:color="000000"/>
            </w:tcBorders>
          </w:tcPr>
          <w:p>
            <w:pPr>
              <w:pStyle w:val="TableText"/>
            </w:pPr>
            <w:r/>
            <w:r>
              <w:rPr/>
              <w:t xml:space="preserve">Age group</w:t>
            </w:r>
          </w:p>
        </w:tc>
        <w:tc>
          <w:tcPr>
            <w:tcW w:type="dxa" w:w="1170"/>
            <w:tcBorders>
              <w:bottom w:val="single" w:sz="4" w:space="0" w:color="000000"/>
            </w:tcBorders>
          </w:tcPr>
          <w:p>
            <w:pPr>
              <w:pStyle w:val="TableText"/>
            </w:pPr>
            <w:r/>
            <w:r>
              <w:rPr/>
              <w:t xml:space="preserve">Result</w:t>
            </w:r>
          </w:p>
        </w:tc>
        <w:tc>
          <w:tcPr>
            <w:tcW w:type="dxa" w:w="1170"/>
            <w:tcBorders>
              <w:bottom w:val="single" w:sz="4" w:space="0" w:color="000000"/>
            </w:tcBorders>
          </w:tcPr>
          <w:p>
            <w:pPr>
              <w:pStyle w:val="TableText"/>
              <w:jc w:val="center"/>
            </w:pPr>
            <w:r/>
            <w:r>
              <w:rPr>
                <w:i/>
              </w:rPr>
              <w:t xml:space="preserve">n</w:t>
            </w:r>
          </w:p>
        </w:tc>
        <w:tc>
          <w:tcPr>
            <w:tcW w:type="dxa" w:w="1170"/>
            <w:tcBorders>
              <w:bottom w:val="single" w:sz="4" w:space="0" w:color="000000"/>
            </w:tcBorders>
          </w:tcPr>
          <w:p>
            <w:pPr>
              <w:pStyle w:val="TableText"/>
              <w:jc w:val="center"/>
            </w:pPr>
            <w:r/>
            <w:r>
              <w:rPr/>
              <w:t xml:space="preserve">RVC</w:t>
            </w:r>
          </w:p>
        </w:tc>
        <w:tc>
          <w:tcPr>
            <w:tcW w:type="dxa" w:w="1170"/>
            <w:tcBorders>
              <w:bottom w:val="single" w:sz="4" w:space="0" w:color="000000"/>
            </w:tcBorders>
          </w:tcPr>
          <w:p>
            <w:pPr>
              <w:pStyle w:val="TableText"/>
              <w:jc w:val="center"/>
            </w:pPr>
            <w:r/>
            <w:r>
              <w:rPr/>
              <w:t xml:space="preserve">Separate predicates</w:t>
            </w:r>
          </w:p>
        </w:tc>
        <w:tc>
          <w:tcPr>
            <w:tcW w:type="dxa" w:w="1170"/>
            <w:tcBorders>
              <w:bottom w:val="single" w:sz="4" w:space="0" w:color="000000"/>
            </w:tcBorders>
          </w:tcPr>
          <w:p>
            <w:pPr>
              <w:pStyle w:val="TableText"/>
              <w:jc w:val="center"/>
            </w:pPr>
            <w:r/>
            <w:r>
              <w:rPr/>
              <w:t xml:space="preserve">Result only</w:t>
            </w:r>
          </w:p>
        </w:tc>
        <w:tc>
          <w:tcPr>
            <w:tcW w:type="dxa" w:w="1170"/>
            <w:tcBorders>
              <w:bottom w:val="single" w:sz="4" w:space="0" w:color="000000"/>
            </w:tcBorders>
          </w:tcPr>
          <w:p>
            <w:pPr>
              <w:pStyle w:val="TableText"/>
              <w:jc w:val="center"/>
            </w:pPr>
            <w:r/>
            <w:r>
              <w:rPr/>
              <w:t xml:space="preserve">Action only</w:t>
            </w:r>
          </w:p>
        </w:tc>
        <w:tc>
          <w:tcPr>
            <w:tcW w:type="dxa" w:w="1170"/>
            <w:tcBorders>
              <w:bottom w:val="single" w:sz="4" w:space="0" w:color="000000"/>
            </w:tcBorders>
          </w:tcPr>
          <w:p>
            <w:pPr>
              <w:pStyle w:val="TableText"/>
              <w:jc w:val="center"/>
            </w:pPr>
            <w:r/>
            <w:r>
              <w:rPr/>
              <w:t xml:space="preserve">Neither</w:t>
            </w:r>
          </w:p>
        </w:tc>
      </w:tr>
      <w:tr>
        <w:tc>
          <w:tcPr>
            <w:tcW w:type="dxa" w:w="1170"/>
          </w:tcPr>
          <w:p>
            <w:pPr>
              <w:pStyle w:val="TableText"/>
            </w:pPr>
            <w:r/>
            <w:r>
              <w:rPr/>
              <w:t xml:space="preserve">4-year-olds</w:t>
            </w:r>
          </w:p>
        </w:tc>
        <w:tc>
          <w:tcPr>
            <w:tcW w:type="dxa" w:w="1170"/>
          </w:tcPr>
          <w:p>
            <w:pPr>
              <w:pStyle w:val="TableText"/>
            </w:pPr>
            <w:r/>
            <w:r>
              <w:rPr/>
              <w:t xml:space="preserve">Full</w:t>
            </w:r>
          </w:p>
        </w:tc>
        <w:tc>
          <w:tcPr>
            <w:tcW w:type="dxa" w:w="1170"/>
          </w:tcPr>
          <w:p>
            <w:pPr>
              <w:pStyle w:val="TableText"/>
              <w:jc w:val="center"/>
            </w:pPr>
            <w:r/>
            <w:r>
              <w:rPr/>
              <w:t xml:space="preserve">157</w:t>
            </w:r>
          </w:p>
        </w:tc>
        <w:tc>
          <w:tcPr>
            <w:tcW w:type="dxa" w:w="1170"/>
          </w:tcPr>
          <w:p>
            <w:pPr>
              <w:pStyle w:val="TableText"/>
              <w:jc w:val="center"/>
            </w:pPr>
            <w:r/>
            <w:r>
              <w:rPr/>
              <w:t xml:space="preserve">13</w:t>
            </w:r>
          </w:p>
        </w:tc>
        <w:tc>
          <w:tcPr>
            <w:tcW w:type="dxa" w:w="1170"/>
          </w:tcPr>
          <w:p>
            <w:pPr>
              <w:pStyle w:val="TableText"/>
              <w:jc w:val="center"/>
            </w:pPr>
            <w:r/>
            <w:r>
              <w:rPr/>
              <w:t xml:space="preserve">11</w:t>
            </w:r>
          </w:p>
        </w:tc>
        <w:tc>
          <w:tcPr>
            <w:tcW w:type="dxa" w:w="1170"/>
          </w:tcPr>
          <w:p>
            <w:pPr>
              <w:pStyle w:val="TableText"/>
              <w:jc w:val="center"/>
            </w:pPr>
            <w:r/>
            <w:r>
              <w:rPr/>
              <w:t xml:space="preserve">5</w:t>
            </w:r>
          </w:p>
        </w:tc>
        <w:tc>
          <w:tcPr>
            <w:tcW w:type="dxa" w:w="1170"/>
          </w:tcPr>
          <w:p>
            <w:pPr>
              <w:pStyle w:val="TableText"/>
              <w:jc w:val="center"/>
            </w:pPr>
            <w:r/>
            <w:r>
              <w:rPr/>
              <w:t xml:space="preserve">62</w:t>
            </w:r>
          </w:p>
        </w:tc>
        <w:tc>
          <w:tcPr>
            <w:tcW w:type="dxa" w:w="1170"/>
          </w:tcPr>
          <w:p>
            <w:pPr>
              <w:pStyle w:val="TableText"/>
              <w:jc w:val="center"/>
            </w:pPr>
            <w:r/>
            <w:r>
              <w:rPr/>
              <w:t xml:space="preserve">8</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156</w:t>
            </w:r>
          </w:p>
        </w:tc>
        <w:tc>
          <w:tcPr>
            <w:tcW w:type="dxa" w:w="1170"/>
          </w:tcPr>
          <w:p>
            <w:pPr>
              <w:pStyle w:val="TableText"/>
              <w:jc w:val="center"/>
            </w:pPr>
            <w:r/>
            <w:r>
              <w:rPr/>
              <w:t xml:space="preserve">7</w:t>
            </w:r>
          </w:p>
        </w:tc>
        <w:tc>
          <w:tcPr>
            <w:tcW w:type="dxa" w:w="1170"/>
          </w:tcPr>
          <w:p>
            <w:pPr>
              <w:pStyle w:val="TableText"/>
              <w:jc w:val="center"/>
            </w:pPr>
            <w:r/>
            <w:r>
              <w:rPr/>
              <w:t xml:space="preserve">1</w:t>
            </w:r>
          </w:p>
        </w:tc>
        <w:tc>
          <w:tcPr>
            <w:tcW w:type="dxa" w:w="1170"/>
          </w:tcPr>
          <w:p>
            <w:pPr>
              <w:pStyle w:val="TableText"/>
              <w:jc w:val="center"/>
            </w:pPr>
            <w:r/>
            <w:r>
              <w:rPr/>
              <w:t xml:space="preserve">4</w:t>
            </w:r>
          </w:p>
        </w:tc>
        <w:tc>
          <w:tcPr>
            <w:tcW w:type="dxa" w:w="1170"/>
          </w:tcPr>
          <w:p>
            <w:pPr>
              <w:pStyle w:val="TableText"/>
              <w:jc w:val="center"/>
            </w:pPr>
            <w:r/>
            <w:r>
              <w:rPr/>
              <w:t xml:space="preserve">78</w:t>
            </w:r>
          </w:p>
        </w:tc>
        <w:tc>
          <w:tcPr>
            <w:tcW w:type="dxa" w:w="1170"/>
          </w:tcPr>
          <w:p>
            <w:pPr>
              <w:pStyle w:val="TableText"/>
              <w:jc w:val="center"/>
            </w:pPr>
            <w:r/>
            <w:r>
              <w:rPr/>
              <w:t xml:space="preserve">11</w:t>
            </w:r>
          </w:p>
        </w:tc>
      </w:tr>
      <w:tr>
        <w:tc>
          <w:tcPr>
            <w:tcW w:type="dxa" w:w="1170"/>
          </w:tcPr>
          <w:p>
            <w:pPr>
              <w:pStyle w:val="TableText"/>
            </w:pPr>
            <w:r/>
            <w:r>
              <w:rPr/>
              <w:t xml:space="preserve">5-year-olds</w:t>
            </w:r>
          </w:p>
        </w:tc>
        <w:tc>
          <w:tcPr>
            <w:tcW w:type="dxa" w:w="1170"/>
          </w:tcPr>
          <w:p>
            <w:pPr>
              <w:pStyle w:val="TableText"/>
            </w:pPr>
            <w:r/>
            <w:r>
              <w:rPr/>
              <w:t xml:space="preserve">Full</w:t>
            </w:r>
          </w:p>
        </w:tc>
        <w:tc>
          <w:tcPr>
            <w:tcW w:type="dxa" w:w="1170"/>
          </w:tcPr>
          <w:p>
            <w:pPr>
              <w:pStyle w:val="TableText"/>
              <w:jc w:val="center"/>
            </w:pPr>
            <w:r/>
            <w:r>
              <w:rPr/>
              <w:t xml:space="preserve">159</w:t>
            </w:r>
          </w:p>
        </w:tc>
        <w:tc>
          <w:tcPr>
            <w:tcW w:type="dxa" w:w="1170"/>
          </w:tcPr>
          <w:p>
            <w:pPr>
              <w:pStyle w:val="TableText"/>
              <w:jc w:val="center"/>
            </w:pPr>
            <w:r/>
            <w:r>
              <w:rPr/>
              <w:t xml:space="preserve">26</w:t>
            </w:r>
          </w:p>
        </w:tc>
        <w:tc>
          <w:tcPr>
            <w:tcW w:type="dxa" w:w="1170"/>
          </w:tcPr>
          <w:p>
            <w:pPr>
              <w:pStyle w:val="TableText"/>
              <w:jc w:val="center"/>
            </w:pPr>
            <w:r/>
            <w:r>
              <w:rPr/>
              <w:t xml:space="preserve">10</w:t>
            </w:r>
          </w:p>
        </w:tc>
        <w:tc>
          <w:tcPr>
            <w:tcW w:type="dxa" w:w="1170"/>
          </w:tcPr>
          <w:p>
            <w:pPr>
              <w:pStyle w:val="TableText"/>
              <w:jc w:val="center"/>
            </w:pPr>
            <w:r/>
            <w:r>
              <w:rPr/>
              <w:t xml:space="preserve">4</w:t>
            </w:r>
          </w:p>
        </w:tc>
        <w:tc>
          <w:tcPr>
            <w:tcW w:type="dxa" w:w="1170"/>
          </w:tcPr>
          <w:p>
            <w:pPr>
              <w:pStyle w:val="TableText"/>
              <w:jc w:val="center"/>
            </w:pPr>
            <w:r/>
            <w:r>
              <w:rPr/>
              <w:t xml:space="preserve">53</w:t>
            </w:r>
          </w:p>
        </w:tc>
        <w:tc>
          <w:tcPr>
            <w:tcW w:type="dxa" w:w="1170"/>
          </w:tcPr>
          <w:p>
            <w:pPr>
              <w:pStyle w:val="TableText"/>
              <w:jc w:val="center"/>
            </w:pPr>
            <w:r/>
            <w:r>
              <w:rPr/>
              <w:t xml:space="preserve">7</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158</w:t>
            </w:r>
          </w:p>
        </w:tc>
        <w:tc>
          <w:tcPr>
            <w:tcW w:type="dxa" w:w="1170"/>
          </w:tcPr>
          <w:p>
            <w:pPr>
              <w:pStyle w:val="TableText"/>
              <w:jc w:val="center"/>
            </w:pPr>
            <w:r/>
            <w:r>
              <w:rPr/>
              <w:t xml:space="preserve">7</w:t>
            </w:r>
          </w:p>
        </w:tc>
        <w:tc>
          <w:tcPr>
            <w:tcW w:type="dxa" w:w="1170"/>
          </w:tcPr>
          <w:p>
            <w:pPr>
              <w:pStyle w:val="TableText"/>
              <w:jc w:val="center"/>
            </w:pPr>
            <w:r/>
            <w:r>
              <w:rPr/>
              <w:t xml:space="preserve">2</w:t>
            </w:r>
          </w:p>
        </w:tc>
        <w:tc>
          <w:tcPr>
            <w:tcW w:type="dxa" w:w="1170"/>
          </w:tcPr>
          <w:p>
            <w:pPr>
              <w:pStyle w:val="TableText"/>
              <w:jc w:val="center"/>
            </w:pPr>
            <w:r/>
            <w:r>
              <w:rPr/>
              <w:t xml:space="preserve">3</w:t>
            </w:r>
          </w:p>
        </w:tc>
        <w:tc>
          <w:tcPr>
            <w:tcW w:type="dxa" w:w="1170"/>
          </w:tcPr>
          <w:p>
            <w:pPr>
              <w:pStyle w:val="TableText"/>
              <w:jc w:val="center"/>
            </w:pPr>
            <w:r/>
            <w:r>
              <w:rPr/>
              <w:t xml:space="preserve">80</w:t>
            </w:r>
          </w:p>
        </w:tc>
        <w:tc>
          <w:tcPr>
            <w:tcW w:type="dxa" w:w="1170"/>
          </w:tcPr>
          <w:p>
            <w:pPr>
              <w:pStyle w:val="TableText"/>
              <w:jc w:val="center"/>
            </w:pPr>
            <w:r/>
            <w:r>
              <w:rPr/>
              <w:t xml:space="preserve">8</w:t>
            </w:r>
          </w:p>
        </w:tc>
      </w:tr>
      <w:tr>
        <w:tc>
          <w:tcPr>
            <w:tcW w:type="dxa" w:w="1170"/>
          </w:tcPr>
          <w:p>
            <w:pPr>
              <w:pStyle w:val="TableText"/>
            </w:pPr>
            <w:r/>
            <w:r>
              <w:rPr/>
              <w:t xml:space="preserve">Adults</w:t>
            </w:r>
          </w:p>
        </w:tc>
        <w:tc>
          <w:tcPr>
            <w:tcW w:type="dxa" w:w="1170"/>
          </w:tcPr>
          <w:p>
            <w:pPr>
              <w:pStyle w:val="TableText"/>
            </w:pPr>
            <w:r/>
            <w:r>
              <w:rPr/>
              <w:t xml:space="preserve">Full</w:t>
            </w:r>
          </w:p>
        </w:tc>
        <w:tc>
          <w:tcPr>
            <w:tcW w:type="dxa" w:w="1170"/>
          </w:tcPr>
          <w:p>
            <w:pPr>
              <w:pStyle w:val="TableText"/>
              <w:jc w:val="center"/>
            </w:pPr>
            <w:r/>
            <w:r>
              <w:rPr/>
              <w:t xml:space="preserve">200</w:t>
            </w:r>
          </w:p>
        </w:tc>
        <w:tc>
          <w:tcPr>
            <w:tcW w:type="dxa" w:w="1170"/>
          </w:tcPr>
          <w:p>
            <w:pPr>
              <w:pStyle w:val="TableText"/>
              <w:jc w:val="center"/>
            </w:pPr>
            <w:r/>
            <w:r>
              <w:rPr/>
              <w:t xml:space="preserve">54</w:t>
            </w:r>
          </w:p>
        </w:tc>
        <w:tc>
          <w:tcPr>
            <w:tcW w:type="dxa" w:w="1170"/>
          </w:tcPr>
          <w:p>
            <w:pPr>
              <w:pStyle w:val="TableText"/>
              <w:jc w:val="center"/>
            </w:pPr>
            <w:r/>
            <w:r>
              <w:rPr/>
              <w:t xml:space="preserve">12</w:t>
            </w:r>
          </w:p>
        </w:tc>
        <w:tc>
          <w:tcPr>
            <w:tcW w:type="dxa" w:w="1170"/>
          </w:tcPr>
          <w:p>
            <w:pPr>
              <w:pStyle w:val="TableText"/>
              <w:jc w:val="center"/>
            </w:pPr>
            <w:r/>
            <w:r>
              <w:rPr/>
              <w:t xml:space="preserve">2</w:t>
            </w:r>
          </w:p>
        </w:tc>
        <w:tc>
          <w:tcPr>
            <w:tcW w:type="dxa" w:w="1170"/>
          </w:tcPr>
          <w:p>
            <w:pPr>
              <w:pStyle w:val="TableText"/>
              <w:jc w:val="center"/>
            </w:pPr>
            <w:r/>
            <w:r>
              <w:rPr/>
              <w:t xml:space="preserve">31</w:t>
            </w:r>
          </w:p>
        </w:tc>
        <w:tc>
          <w:tcPr>
            <w:tcW w:type="dxa" w:w="1170"/>
          </w:tcPr>
          <w:p>
            <w:pPr>
              <w:pStyle w:val="TableText"/>
              <w:jc w:val="center"/>
            </w:pPr>
            <w:r/>
            <w:r>
              <w:rPr/>
              <w:t xml:space="preserve">2</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200</w:t>
            </w:r>
          </w:p>
        </w:tc>
        <w:tc>
          <w:tcPr>
            <w:tcW w:type="dxa" w:w="1170"/>
          </w:tcPr>
          <w:p>
            <w:pPr>
              <w:pStyle w:val="TableText"/>
              <w:jc w:val="center"/>
            </w:pPr>
            <w:r/>
            <w:r>
              <w:rPr/>
              <w:t xml:space="preserve">26</w:t>
            </w:r>
          </w:p>
        </w:tc>
        <w:tc>
          <w:tcPr>
            <w:tcW w:type="dxa" w:w="1170"/>
          </w:tcPr>
          <w:p>
            <w:pPr>
              <w:pStyle w:val="TableText"/>
              <w:jc w:val="center"/>
            </w:pPr>
            <w:r/>
            <w:r>
              <w:rPr/>
              <w:t xml:space="preserve">2</w:t>
            </w:r>
          </w:p>
        </w:tc>
        <w:tc>
          <w:tcPr>
            <w:tcW w:type="dxa" w:w="1170"/>
          </w:tcPr>
          <w:p>
            <w:pPr>
              <w:pStyle w:val="TableText"/>
              <w:jc w:val="center"/>
            </w:pPr>
            <w:r/>
            <w:r>
              <w:rPr/>
              <w:t xml:space="preserve">0</w:t>
            </w:r>
          </w:p>
        </w:tc>
        <w:tc>
          <w:tcPr>
            <w:tcW w:type="dxa" w:w="1170"/>
          </w:tcPr>
          <w:p>
            <w:pPr>
              <w:pStyle w:val="TableText"/>
              <w:jc w:val="center"/>
            </w:pPr>
            <w:r/>
            <w:r>
              <w:rPr/>
              <w:t xml:space="preserve">67</w:t>
            </w:r>
          </w:p>
        </w:tc>
        <w:tc>
          <w:tcPr>
            <w:tcW w:type="dxa" w:w="1170"/>
          </w:tcPr>
          <w:p>
            <w:pPr>
              <w:pStyle w:val="TableText"/>
              <w:jc w:val="center"/>
            </w:pPr>
            <w:r/>
            <w:r>
              <w:rPr/>
              <w:t xml:space="preserve">5</w:t>
            </w:r>
          </w:p>
        </w:tc>
      </w:tr>
    </w:tbl>
    <w:p w14:paraId="461146B5" w14:textId="764D5272" w:rsidR="009D4CF3" w:rsidRPr="0055050F" w:rsidRDefault="00000000">
      <w:pPr>
        <w:pStyle w:val="TableNote"/>
        <w:rPr>
          <w:rFonts w:eastAsiaTheme="minorEastAsia"/>
        </w:rPr>
      </w:pPr>
      <w:r>
        <w:rPr>
          <w:i/>
        </w:rPr>
        <w:t xml:space="preserve">Note.</w:t>
      </w:r>
      <w:r>
        <w:rPr/>
        <w:t xml:space="preserve"> RVC = action and target result expressed in an RVC, affirmed or negated. Responses containing an RVC that did not express the target result (e.g., an RVC with a different result) are classified by the remaining information; therefore, the RVC column can be lower than the proportion of responses containing an RVC reported in the text. All 10 pairs are included.</w:t>
      </w:r>
    </w:p>
    <w:p w14:paraId="461146B5" w14:textId="764D5272" w:rsidR="009D4CF3" w:rsidRPr="0055050F" w:rsidRDefault="00000000">
      <w:pPr/>
      <w:r>
        <w:rPr/>
        <w:t xml:space="preserve">Restricting the analyses to the eight retained pairs did not change these patterns (RVC use, full minus zero, log-odds: 4-year-olds: 0.62 [−0.61, 1.90]; 5-year-olds: 1.81 [0.66, 3.06]; adults: 2.01 [1.00, 3.08]). Descriptively, in zero-result events RVCs were produced somewhat more often for stronger- than for weaker-association actions (4-year-olds: 12% vs. 6%; 5-year-olds: 12% vs. 6%; adults: 33% vs. 25%), mostly in negated or attempt constructions; this comparison was not planned and is not modeled. </w:t>
      </w:r>
      <w:r>
        <w:rPr>
          <w:highlight w:val="yellow"/>
        </w:rPr>
        <w:t xml:space="preserve">[产出编码为依据逐项关键词表的规则编码初稿，待人工核对和第二编码者编码后更新以上数值]</w:t>
      </w:r>
    </w:p>
    <w:p w14:paraId="095C048D" w14:textId="77777777" w:rsidR="009D4CF3" w:rsidRDefault="00000000">
      <w:pPr>
        <w:pStyle w:val="Heading1"/>
      </w:pPr>
      <w:r>
        <w:t>General Discussion</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2A274960" w14:textId="262DD448" w:rsidR="009D4CF3" w:rsidRDefault="00000000">
      <w:proofErr w:type="spellStart"/>
      <w:proofErr w:type="spellEnd"/>
      <w:r w:rsidRPr="00055864">
        <w:rPr/>
        <w:t xml:space="preserve">Three main findings emerged. First, 4-year-olds, 5-year-olds, and adults all rejected RVC descriptions of zero-result events and accepted V1 descriptions of these events more often, although children accepted V1 descriptions less often than adults. Second, within pairs matched for object and target result, all three groups accepted V1 descriptions of zero-result events less often when the V1 named an action more strongly associated with the target result; the size of this association effect did not differ credibly between children and adults, and children’s lower acceptance held for both stronger- and weaker-association V1s. Third, in their own descriptions, children and adults produced fewer RVCs and mentioned the target result less often for zero-result than for full-result events, and children produced fewer RVCs than adults mainly because they mentioned the result less often, not because they expressed it in other forms.</w:t>
      </w:r>
    </w:p>
    <w:p w14:paraId="0C5F8170" w14:textId="77777777" w:rsidR="009D4CF3" w:rsidRDefault="00000000">
      <w:pPr>
        <w:pStyle w:val="Heading2"/>
      </w:pPr>
      <w:r>
        <w:t>RVC and V1 Descriptions</w:t>
      </w:r>
    </w:p>
    <w:p w14:paraId="46F550EC" w14:textId="77777777" w:rsidR="009D4CF3" w:rsidRDefault="00000000">
      <w:r>
        <w:rPr/>
        <w:t xml:space="preserve">The larger effect of result realization on RVC than on V1 descriptions shows that children treat a result expressed by V2 differently from a result that is only associated with the action named by V1. This replicates the distinction found in 5-year-olds (J. Liu et al., 2026) and in a small group of children around 4;6 (Chen, 2017), and it extends it to a larger sample of 4-year-olds. On the probability scale, the difference between the two forms was present in all three groups. On the log-odds scale, the Form × Result Realization interaction was probably positive in 5-year-olds and adults (clearly so in 5-year-olds when all 10 pairs were included) but uncertain in 4-year-olds, and 4-year-olds accepted RVC descriptions of zero-result events somewhat more often (19%) than 5-year-olds (11%) and adults (1%). The distinction is therefore in place by 4 years of age for the events tested here, but it is less sharp at 4 than at 5, both because 4-year-olds occasionally accept RVC descriptions of unattained results and because they reject many V1 descriptions of these events. As noted in the Introduction, this conclusion concerns the selected RVCs and events, not RVC semantics or telicity in general.</w:t>
      </w:r>
    </w:p>
    <w:p w14:paraId="46F550EC" w14:textId="77777777" w:rsidR="009D4CF3" w:rsidRDefault="00000000">
      <w:pPr/>
      <w:r>
        <w:rPr/>
        <w:t xml:space="preserve">Children accepted V1 descriptions of zero-result events less often than adults (55% and 58% vs. 83%), replicating the finding that children judge V1 descriptions of events without the result more strictly than adults do (Chen, 2017; J. Liu et al., 2026). Their stricter judgments did not make the two forms equivalent, however: Even 4-year-olds accepted V1 descriptions of zero-result events far more often than RVC descriptions. Children thus do not treat V1s as entailing the result in the way RVCs do; rather, a V1 description of an unattained result is acceptable to them in fewer cases than to adults.</w:t>
      </w:r>
    </w:p>
    <w:p w14:paraId="46F550EC" w14:textId="77777777" w:rsidR="009D4CF3" w:rsidRDefault="00000000">
      <w:pPr/>
      <w:r>
        <w:rPr/>
        <w:t xml:space="preserve">The exception to children’s rejection of RVC descriptions of zero-result events was Pair 9 (Supplemental Material, Section S3). In the videos of this pair, the stain on the mirror was a small spot in one corner, so the zero-result videos may not have shown clearly that the mirror had not become clean. Children’s acceptance of the RVC descriptions of these videos therefore probably reflects the perceptibility of the result in these particular videos, that is, whether its absence could be seen, rather than an interpretation of the RVC as compatible with an unattained result. In the other pairs, in which the absence of the result was easy to see, children rarely accepted RVC descriptions of zero-result events.</w:t>
      </w:r>
    </w:p>
    <w:p w14:paraId="4C2E4028" w14:textId="77777777" w:rsidR="009D4CF3" w:rsidRPr="0054146F" w:rsidRDefault="00000000">
      <w:pPr>
        <w:pStyle w:val="Heading2"/>
        <w:rPr>
          <w:color w:val="auto"/>
        </w:rPr>
      </w:pPr>
      <w:r w:rsidRPr="0054146F">
        <w:rPr>
          <w:color w:val="auto"/>
        </w:rPr>
        <w:t>Action–Result Association and V1 Descriptions</w:t>
      </w:r>
    </w:p>
    <w:p w14:paraId="256010E1" w14:textId="77777777" w:rsidR="009D4CF3" w:rsidRDefault="00000000">
      <w:r>
        <w:rPr/>
        <w:t xml:space="preserve">Children and adults rejected V1 descriptions of zero-result events more often when the V1 named an action strongly associated with the target result. Because the object and the target result were constant within pairs, this association effect cannot be attributed to differences between objects or results, which was not possible in previous studies in which each V1 was presented with a different object and result (Chen, 2017). Previous studies have also compared events across result types: Song and Haryu (2025), for example, compared shape-change and location-change events, assuming that they differ in endstate salience. When result types are compared, the type of result goes together with many other properties of the events. The present study instead held the object and the result constant within pairs, so that only the action varied, and measured the manipulated dimension independently, with adult ratings of result likelihood and action typicality, cross-checked against corpus frequencies of the corresponding RVCs. The effect was carried by most pairs rather than by one or two, and it was found with all 10 pairs and with each pair left out in turn (Supplemental Material, Sections S2 and S3). For both children and adults, then, what a V1 description conveys about a result depends on how the named action relates to that result. In adults, this is consistent with the cline in the acceptability of result cancellation across verbs (Chen, 2018) and with evidence that comprehenders’ expectations about events depend on the combination of a verb with its arguments (Bicknell et al., 2010; McRae &amp; Matsuki, 2009). In children, it shows that the variation among V1s that Chen (2017) attributed to the strength of the state-change implicature can be found when the event is held constant and only the action varies.</w:t>
      </w:r>
    </w:p>
    <w:p w14:paraId="7174531D" w14:textId="77777777" w:rsidR="009D4CF3" w:rsidRDefault="00000000">
      <w:r>
        <w:rPr/>
        <w:t xml:space="preserve">Why action–result association matters is not settled by previous work. Accounts of monomorphemic verbs hold that a verb can imply a result without entailing it and that the strength of the implication varies, whether across verbs (Chen, 2018) or across fulfillment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2021), a failed attempt at a typical means may make a V1 description less acceptable. The two dimensions usually go together but need not coincide (Kim &amp; Murphy, 2011). These possibilities are offered as interpretations of the association effect, not as hypotheses the study was designed to test.</w:t>
      </w:r>
    </w:p>
    <w:p w14:paraId="16A57566" w14:textId="77777777" w:rsidR="009D4CF3" w:rsidRDefault="00000000">
      <w:r>
        <w:rPr/>
        <w:t xml:space="preserve">The association effect did not differ credibly between children and adults, and children accepted V1 descriptions of zero-result events less often than adults for both stronger- and weaker-association V1s. This pattern matches the predictions and the initial analysis with the original Strong/Weak coding. The comparison between children and adults was inconclusive rather than null, however: The effect was, if anything, smaller in children on the log-odds scale and larger in children on the probability scale, because adults accepted weaker-association V1s almost always, and the intervals on both scales were wide. With this caveat, the results suggest that children are sensitive to action–result association in the same way as adults and that their stricter judgments do not arise only for V1s that name strongly associated actions. Children’s lower acceptance then reflects a more general difference in how they evaluate V1 descriptions of failed attempts. Three explanations of this difference cannot be separated by the binary task: Children may find it harder than adults to set aside an inference that the result occurred, may reject a true description as inadequate because it leaves an expected result unaddressed, or may judge a failed attempt to be a poor instance of the action. Because children tend to be more tolerant than adults of underinformative descriptions in binary judgment tasks (Katsos &amp; Bishop, 2011), the second explanation would require that a description that leaves the result unaddressed is perceived as more than underinformative when an attempt has failed. The production data, discussed below, bear on these explanations.</w:t>
      </w:r>
    </w:p>
    <w:p w14:paraId="64959941" w14:textId="77777777" w:rsidR="009D4CF3" w:rsidRDefault="00000000">
      <w:r>
        <w:rPr/>
        <w:t xml:space="preserve">Because the stronger- and weaker-association expressions differ in both rated likelihood and rated typicality, the study cannot determine which dimension, or what the two share, underlies the association effect; the two ratings diverged only in Pair 7, which was excluded. The contrast between stronger- and weaker-association expressions also goes together with a difference in the conventionality of the corresponding RVCs. A child who often hears </w:t>
      </w:r>
      <w:r>
        <w:rPr>
          <w:i/>
        </w:rPr>
        <w:t xml:space="preserve">chuī-miè</w:t>
      </w:r>
      <w:r>
        <w:rPr/>
        <w:t xml:space="preserve"> “blow-extinguished” may come to expect a candle to go out after </w:t>
      </w:r>
      <w:r>
        <w:rPr>
          <w:i/>
        </w:rPr>
        <w:t xml:space="preserve">chuī</w:t>
      </w:r>
      <w:r>
        <w:rPr/>
        <w:t xml:space="preserve"> “blow,” so familiarity with the RVC offers an alternative account of the association effect. This account is not incompatible with the association account, because an action that reliably brings about a result is also likely to be described often with the corresponding RVC, but the present materials cannot separate the two. Pair 6 offers a small hint, because the RVC with the weaker-association V1, </w:t>
      </w:r>
      <w:r>
        <w:rPr>
          <w:i/>
        </w:rPr>
        <w:t xml:space="preserve">tuī-dǎo</w:t>
      </w:r>
      <w:r>
        <w:rPr/>
        <w:t xml:space="preserve"> “push-fallen,” was far more frequent than </w:t>
      </w:r>
      <w:r>
        <w:rPr>
          <w:i/>
        </w:rPr>
        <w:t xml:space="preserve">tī-dǎo</w:t>
      </w:r>
      <w:r>
        <w:rPr/>
        <w:t xml:space="preserve"> “kick-fallen”; children nevertheless accepted </w:t>
      </w:r>
      <w:r>
        <w:rPr>
          <w:i/>
        </w:rPr>
        <w:t xml:space="preserve">tī</w:t>
      </w:r>
      <w:r>
        <w:rPr/>
        <w:t xml:space="preserve"> “kick” less often than </w:t>
      </w:r>
      <w:r>
        <w:rPr>
          <w:i/>
        </w:rPr>
        <w:t xml:space="preserve">tuī</w:t>
      </w:r>
      <w:r>
        <w:rPr/>
        <w:t xml:space="preserve"> “push” in zero-result events, as the ratings predict. A single pair cannot decide between the accounts, and the frequency of </w:t>
      </w:r>
      <w:r>
        <w:rPr>
          <w:i/>
        </w:rPr>
        <w:t xml:space="preserve">tuī-dǎo</w:t>
      </w:r>
      <w:r>
        <w:rPr/>
        <w:t xml:space="preserve"> reflects mainly abstract uses.</w:t>
      </w:r>
    </w:p>
    <w:p w14:paraId="5A252C3A" w14:textId="77777777" w:rsidR="009D4CF3" w:rsidRDefault="00000000">
      <w:pPr>
        <w:pStyle w:val="Heading2"/>
      </w:pPr>
      <w:r>
        <w:t>Form and Information in Production</w:t>
      </w:r>
    </w:p>
    <w:p w14:paraId="5F1E9033" w14:textId="77777777" w:rsidR="009D4CF3" w:rsidRDefault="00000000">
      <w:r>
        <w:rPr/>
        <w:t xml:space="preserve">Comparing RVC use with mention of the target result separates the forms speakers used from the information they expressed. All groups mentioned the target result less often for zero-result than for full-result events, and 5-year-olds and adults also produced fewer RVCs; 4-year-olds produced few RVCs in either condition. RVC use and mention of the target result declined together, and in zero-result events responses that mentioned the result in another form, in a separate predicate or without the action, were rare. Speakers describing a failed attempt thus tended to leave the result unmentioned rather than express it in another form. When adults mentioned the result in a zero-result event, they usually denied it (e.g., </w:t>
      </w:r>
      <w:r>
        <w:rPr>
          <w:i/>
        </w:rPr>
        <w:t xml:space="preserve">méi zá-kāi</w:t>
      </w:r>
      <w:r>
        <w:rPr/>
        <w:t xml:space="preserve"> “did not smash open”) or presented it as the actor’s goal (e.g., </w:t>
      </w:r>
      <w:r>
        <w:rPr>
          <w:i/>
        </w:rPr>
        <w:t xml:space="preserve">shìtú sī-kāi</w:t>
      </w:r>
      <w:r>
        <w:rPr/>
        <w:t xml:space="preserve"> “tried to tear open”), so their RVCs in zero-result events typically appeared in negated, potential, or attempt constructions. Children rarely mentioned the result in zero-result events, and when they did, they mostly denied it, often with potential forms such as </w:t>
      </w:r>
      <w:r>
        <w:rPr>
          <w:i/>
        </w:rPr>
        <w:t xml:space="preserve">qiāo bù kāi</w:t>
      </w:r>
      <w:r>
        <w:rPr/>
        <w:t xml:space="preserve"> “knock-cannot-open.” Responses affirming the target result in a zero-result event were rare in all groups (1%–4% of zero-result responses), so children did not describe an unattained result as attained.</w:t>
      </w:r>
    </w:p>
    <w:p w14:paraId="5F1E9033" w14:textId="77777777" w:rsidR="009D4CF3" w:rsidRDefault="00000000">
      <w:pPr/>
      <w:r>
        <w:rPr/>
        <w:t xml:space="preserve">Children produced fewer RVCs than adults in both result conditions. In full-result events, children’s descriptions more often named the action alone, and children did not express the result in separate predicates or without the action more often than adults. Children’s lower RVC use therefore reflects less frequent mention of the target result rather than a different way of packaging it. This is consistent with evidence that children can form RVCs (Chen, 2008; Deng, 2019; Hsu et al., 2019) but shows that, in an open-ended task, they often do not express the result even when it is attained. RVC frequency alone therefore underestimates what children know about RVCs, and comparing RVC use with mention of the result is needed to interpret it. Because children responded orally and adults in writing, part of this difference may reflect response modality; adults’ written descriptions were on average more than twice as long as children’s oral descriptions (15 vs. 6 characters).</w:t>
      </w:r>
    </w:p>
    <w:p w14:paraId="5F1E9033" w14:textId="77777777" w:rsidR="009D4CF3" w:rsidRDefault="00000000">
      <w:pPr/>
      <w:r>
        <w:rPr/>
        <w:t xml:space="preserve">The elicitation questions bear on these differences. Children were first asked </w:t>
      </w:r>
      <w:r>
        <w:rPr>
          <w:i/>
        </w:rPr>
        <w:t xml:space="preserve">Nǐ kàn-dào le shénme ya?</w:t>
      </w:r>
      <w:r>
        <w:rPr/>
        <w:t xml:space="preserve"> “What did you see?” and, if they named only an object, </w:t>
      </w:r>
      <w:r>
        <w:rPr>
          <w:i/>
        </w:rPr>
        <w:t xml:space="preserve">Nà zhège rén zài zuò shénme ya?</w:t>
      </w:r>
      <w:r>
        <w:rPr/>
        <w:t xml:space="preserve"> “Then what is this person doing?” The first question does not direct attention to what happened to the object, and the second, with the progressive marker </w:t>
      </w:r>
      <w:r>
        <w:rPr>
          <w:i/>
        </w:rPr>
        <w:t xml:space="preserve">zài</w:t>
      </w:r>
      <w:r>
        <w:rPr/>
        <w:t xml:space="preserve">, asks about the ongoing activity, which an action-only description answers fully. Adults were asked to describe in one sentence what they saw. Song and Haryu (2026) asked Mandarin-speaking children to describe what the agent did to the object and reported that children, like adults, produced RVCs for most events with a change of state and action verbs for most events without one. The low rate of RVCs in children’s descriptions of full-result events in the present study therefore probably reflects in part the open prompt and the follow-up question rather than difficulty in forming RVCs. This strengthens the conclusion that children’s RVC use in open-ended description depends on which information they choose to express, and it implies that comparisons of RVC frequencies across studies need to take the elicitation question into account.</w:t>
      </w:r>
    </w:p>
    <w:p w14:paraId="5F1E9033" w14:textId="77777777" w:rsidR="009D4CF3" w:rsidRDefault="00000000">
      <w:pPr/>
      <w:r>
        <w:rPr/>
        <w:t xml:space="preserve">The two experiments also present an asymmetry at the group level. In production, children described most zero-result events with action-only responses, that is, with the kind of V1 description they rejected in about 40% of comprehension trials. If children judged V1 descriptions of failed attempts to be false because the V1 entails the result, they should avoid such descriptions in production as well. That they produced them freely suggests that their rejections in comprehension do not reflect a lexical entailment but how they evaluate a description supplied to them, for example as leaving an expected result unaddressed or as describing a poor instance of the action. This interpretation is tentative, because comprehension and production were tested in independent samples and the tasks differ in their demands. In the comprehension task, participants were told that the experimenter would say what they had seen in each video and were asked to judge whether this was right or wrong. This framing asks them to evaluate a description as a report of the event, and a report that names the action but says nothing about an expected and visibly unattained result may seem wrong to a child even if it is literally true. In the production task, by contrast, children were asked only what they had seen, which an action-only description answers. A within-participant comparison of comprehension and production would test the interpretation directly.</w:t>
      </w:r>
    </w:p>
    <w:p w14:paraId="328EDA48" w14:textId="77777777" w:rsidR="009D4CF3" w:rsidRDefault="00000000">
      <w:pPr>
        <w:pStyle w:val="Heading2"/>
      </w:pPr>
      <w:r>
        <w:lastRenderedPageBreak/>
        <w:t>Limitations and Future Directions</w:t>
      </w:r>
    </w:p>
    <w:p w14:paraId="2D58C942" w14:textId="77777777" w:rsidR="009D4CF3" w:rsidRDefault="00000000">
      <w:r>
        <w:rPr/>
        <w:t xml:space="preserve">Several limitations follow from the design and from the materials.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 xml:space="preserve">tī</w:t>
      </w:r>
      <w:r>
        <w:rP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with stronger- and weaker-association V1s judged by different participants, each association effect rests on few items and small groups, and item-level estimates are descriptive; in addition, the ratings were collected and two pairs excluded after an initial analysis of the same children’s data. The eight-pair results agreed with the 10-pair analyses, but the association effect needs to be replicated with a new sample of children, and the comparison of the effect between children and adults requires larger samples. Fifth, the ratings describe expressions rather than videos, and the videos did not always elicit the intended V1; in Pair 9, the stain on the mirror was small, so the zero-result videos may not have shown clearly that the mirror remained unclean. More generally, the target results differ in kind across pairs: Some involve a change of shape or integrity (a lychee coming open, paper tearing apart, a walnut cracking open, a finger bending), others a change of position or posture (a stool overturning, a bottle falling over), and others a change of surface state or light (a mirror becoming clean, a candle going out). Such differences may contribute to variation across pairs, but the comparisons of interest were made within pairs, in which both actions had the same object and the same target result. Sixth, in the production task, the follow-up question </w:t>
      </w:r>
      <w:r>
        <w:rPr>
          <w:i/>
        </w:rPr>
        <w:t xml:space="preserve">zài zuò shénme</w:t>
      </w:r>
      <w:r>
        <w:rPr/>
        <w:t xml:space="preserve"> “is doing what” may have favored action-only descriptions, and responses given after this question are not distinguished from first responses in the present coding. Seventh, the production data were coded with item-specific criteria that will be checked by a second coder. </w:t>
      </w:r>
      <w:r>
        <w:rPr>
          <w:highlight w:val="yellow"/>
        </w:rPr>
        <w:t xml:space="preserve">[人工核对与第二编码者完成后修改此句]</w:t>
      </w:r>
      <w:r>
        <w:rPr/>
        <w:t xml:space="preserve">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25C533C3" w:rsidR="009D4CF3" w:rsidRDefault="00000000">
      <w:proofErr w:type="spellStart"/>
      <w:proofErr w:type="spellEnd"/>
      <w:r>
        <w:rPr/>
        <w:t xml:space="preserve">Mandarin-speaking 4- and 5-year-olds distinguish RVCs from their monomorphemic V1s with respect to the target result: Like adults, they reject RVC descriptions of events in which the result is not attained and accept V1 descriptions of these events more often, although less often than adults do. Their acceptance of V1 descriptions also depends on the relation between the named action and the result. When the object and the target result are held constant, children and adults alike are less willing to accept a V1 description of a failed attempt if the action is strongly associated with the result, and children’s stricter judgments hold for strongly and weakly associated actions alike. In their own descriptions, children rarely express an unattained result and often leave an attained result unmentioned, so that their lower use of RVCs reflects which information they express rather than how they package it. What a monomorphemic verb conveys about a result, for children as for adults, is thus best characterized not as a fixed property of the verb but as a property of the relation between the action it names and the result in question.</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(2), 191–222. https://doi.org/10.1017/cnj.2021.11</w:t>
      </w:r>
      <w:proofErr w:type="spellStart"/>
      <w:proofErr w:type="spellEnd"/>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w:t>
      </w:r>
      <w:proofErr w:type="spellStart"/>
      <w:proofErr w:type="spellEnd"/>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w:t>
      </w:r>
      <w:proofErr w:type="spellEnd"/>
      <w:r>
        <w:t xml:space="preserve">, H. (2020).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Universität Tübingen.</w:t>
      </w:r>
      <w:proofErr w:type="spellStart"/>
      <w:proofErr w:type="spellEnd"/>
    </w:p>
    <w:p w14:paraId="5A95214F" w14:textId="77777777" w:rsidR="008215DC" w:rsidRDefault="00000000">
      <w:pPr>
        <w:pStyle w:val="Reference"/>
      </w:pPr>
      <w:r>
        <w:t xml:space="preserve">Martin, F., Sun, H., Liu, J., &amp; Demirdache, H. (2026). </w:t>
      </w:r>
      <w:r>
        <w:rPr>
          <w:i/>
        </w:rPr>
        <w:t>Zero-change construals as a probe into event structure: Mandarin Chinese simple verbs and their anticausative vs. antiagentive alternants</w:t>
      </w:r>
      <w:r>
        <w:t xml:space="preserve"> [Preprint]. ResearchGate.</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lastRenderedPageBreak/>
        <w:t xml:space="preserve">R Core Team. (2024). </w:t>
      </w:r>
      <w:r>
        <w:rPr>
          <w:i/>
        </w:rPr>
        <w:t>R: A language and environment for statistical computing</w:t>
      </w:r>
      <w:r>
        <w:t>. R Foundation for Statistical Computing. https://www.R-project.org/</w:t>
      </w:r>
    </w:p>
    <w:p w14:paraId="0376CB4F" w14:textId="77777777" w:rsidR="009D4CF3" w:rsidRDefault="00000000">
      <w:pPr>
        <w:pStyle w:val="Reference"/>
      </w:pPr>
      <w:r>
        <w:rPr/>
        <w:t xml:space="preserve">Song, Z. T., &amp; Haryu, E. (2025, August). </w:t>
      </w:r>
      <w:r>
        <w:rPr>
          <w:i/>
        </w:rPr>
        <w:t xml:space="preserve">“The end matters”: Endstate salience in change-of-state events affects Mandarin-speaking children’s acceptance of verbal packaging patterns of action and result</w:t>
      </w:r>
      <w:r>
        <w:rPr/>
        <w:t xml:space="preserve"> [Poster presentation]. European Conference on Developmental Psychology (ECDP 2025), Prague, Czech Republic.</w:t>
      </w:r>
    </w:p>
    <w:p w14:paraId="0376CB4F" w14:textId="77777777" w:rsidR="009D4CF3" w:rsidRDefault="00000000">
      <w:pPr>
        <w:pStyle w:val="Reference"/>
      </w:pPr>
      <w:r>
        <w:rPr/>
        <w:t xml:space="preserve">Song, Z. T., &amp; Haryu, E. (2026). </w:t>
      </w:r>
      <w:r>
        <w:rPr>
          <w:i/>
        </w:rPr>
        <w:t xml:space="preserve">Mandarin-speaking children can correctly produce change-of-state verbs: Limited influence of event state structure</w:t>
      </w:r>
      <w:r>
        <w:rPr/>
        <w:t xml:space="preserve"> [Poster presentation]. APS Global Psychological Science Summit.</w:t>
      </w:r>
    </w:p>
    <w:p w14:paraId="0376CB4F" w14:textId="77777777" w:rsidR="009D4CF3" w:rsidRDefault="00000000">
      <w:pPr>
        <w:pStyle w:val="Reference"/>
      </w:pPr>
      <w:r>
        <w:t xml:space="preserve">Speer, R. (2022). </w:t>
      </w:r>
      <w:r>
        <w:rPr>
          <w:i/>
        </w:rPr>
        <w:t>wordfreq</w:t>
      </w:r>
      <w:r>
        <w:t xml:space="preserve"> (Version 3.0) [Computer software]. Zenodo. https://doi.org/10.5281/zenodo.7199437</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w:t>
      </w:r>
      <w:proofErr w:type="spellStart"/>
      <w:proofErr w:type="spellEnd"/>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(1), 71–86.</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