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Mandarin-Speaking Children’s Interpretation and Expression of Actions and Results: Evidence From Resultative Verb Compounds and Monomorphemic V1s</w:t>
      </w:r>
    </w:p>
    <w:p>
      <w:pPr>
        <w:pStyle w:val="Heading1"/>
      </w:pPr>
      <w:r>
        <w:t>Supplemental Material</w:t>
      </w:r>
    </w:p>
    <w:p w14:paraId="18133AA6" w14:textId="77777777" w:rsidR="009D4CF3" w:rsidRDefault="00000000">
      <w:pPr>
        <w:pStyle w:val="Heading1"/>
        <w:pageBreakBefore w:val="0"/>
      </w:pPr>
      <w:r>
        <w:rPr/>
        <w:t xml:space="preserve">Section S1</w:t>
      </w:r>
    </w:p>
    <w:p w14:paraId="18133AA6" w14:textId="77777777" w:rsidR="009D4CF3" w:rsidRDefault="00000000">
      <w:pPr>
        <w:pStyle w:val="Heading1"/>
      </w:pPr>
      <w:r>
        <w:rPr/>
        <w:t xml:space="preserve">Verb–Video Correspondence Norming</w:t>
      </w:r>
    </w:p>
    <w:p w14:paraId="18133AA6" w14:textId="77777777" w:rsidR="009D4CF3" w:rsidRDefault="00000000">
      <w:pPr>
        <w:pStyle w:val="TableNumber"/>
      </w:pPr>
      <w:r>
        <w:rPr/>
        <w:t xml:space="preserve">Table S1</w:t>
      </w:r>
    </w:p>
    <w:p w14:paraId="18133AA6" w14:textId="77777777" w:rsidR="009D4CF3" w:rsidRDefault="00000000">
      <w:pPr>
        <w:pStyle w:val="TableTitle"/>
      </w:pPr>
      <w:r>
        <w:rPr>
          <w:i/>
        </w:rPr>
        <w:t xml:space="preserve">Proportion of Descriptions Containing the Intended V1 in the Verb–Video Correspondence Norming</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Borders>
              <w:bottom w:val="single" w:sz="4" w:space="0" w:color="000000"/>
            </w:tcBorders>
          </w:tcPr>
          <w:p>
            <w:pPr>
              <w:pStyle w:val="TableText"/>
            </w:pPr>
            <w:r/>
            <w:r>
              <w:rPr/>
              <w:t xml:space="preserve">Pair</w:t>
            </w:r>
          </w:p>
        </w:tc>
        <w:tc>
          <w:tcPr>
            <w:tcW w:type="dxa" w:w="1337"/>
            <w:tcBorders>
              <w:bottom w:val="single" w:sz="4" w:space="0" w:color="000000"/>
            </w:tcBorders>
          </w:tcPr>
          <w:p>
            <w:pPr>
              <w:pStyle w:val="TableText"/>
            </w:pPr>
            <w:r/>
            <w:r>
              <w:rPr/>
              <w:t xml:space="preserve">Stronger-association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c>
          <w:tcPr>
            <w:tcW w:type="dxa" w:w="1337"/>
            <w:tcBorders>
              <w:bottom w:val="single" w:sz="4" w:space="0" w:color="000000"/>
            </w:tcBorders>
          </w:tcPr>
          <w:p>
            <w:pPr>
              <w:pStyle w:val="TableText"/>
            </w:pPr>
            <w:r/>
            <w:r>
              <w:rPr/>
              <w:t xml:space="preserve">Weaker-association V1</w:t>
            </w:r>
          </w:p>
        </w:tc>
        <w:tc>
          <w:tcPr>
            <w:tcW w:type="dxa" w:w="1337"/>
            <w:tcBorders>
              <w:bottom w:val="single" w:sz="4" w:space="0" w:color="000000"/>
            </w:tcBorders>
          </w:tcPr>
          <w:p>
            <w:pPr>
              <w:pStyle w:val="TableText"/>
              <w:jc w:val="center"/>
            </w:pPr>
            <w:r/>
            <w:r>
              <w:rPr/>
              <w:t xml:space="preserve">First</w:t>
            </w:r>
          </w:p>
        </w:tc>
        <w:tc>
          <w:tcPr>
            <w:tcW w:type="dxa" w:w="1337"/>
            <w:tcBorders>
              <w:bottom w:val="single" w:sz="4" w:space="0" w:color="000000"/>
            </w:tcBorders>
          </w:tcPr>
          <w:p>
            <w:pPr>
              <w:pStyle w:val="TableText"/>
              <w:jc w:val="center"/>
            </w:pPr>
            <w:r/>
            <w:r>
              <w:rPr/>
              <w:t xml:space="preserve">All</w:t>
            </w:r>
          </w:p>
        </w:tc>
      </w:tr>
      <w:tr>
        <w:tc>
          <w:tcPr>
            <w:tcW w:type="dxa" w:w="1337"/>
          </w:tcPr>
          <w:p>
            <w:pPr>
              <w:pStyle w:val="TableText"/>
            </w:pPr>
            <w:r/>
            <w:r>
              <w:rPr/>
              <w:t xml:space="preserve">1</w:t>
            </w:r>
          </w:p>
        </w:tc>
        <w:tc>
          <w:tcPr>
            <w:tcW w:type="dxa" w:w="1337"/>
          </w:tcPr>
          <w:p>
            <w:pPr>
              <w:pStyle w:val="TableText"/>
            </w:pPr>
            <w:r/>
            <w:r>
              <w:rPr>
                <w:i/>
              </w:rPr>
              <w:t xml:space="preserve">bāo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niē</w:t>
            </w:r>
          </w:p>
        </w:tc>
        <w:tc>
          <w:tcPr>
            <w:tcW w:type="dxa" w:w="1337"/>
          </w:tcPr>
          <w:p>
            <w:pPr>
              <w:pStyle w:val="TableText"/>
              <w:jc w:val="center"/>
            </w:pPr>
            <w:r/>
            <w:r>
              <w:rPr/>
              <w:t xml:space="preserve">0.25</w:t>
            </w:r>
          </w:p>
        </w:tc>
        <w:tc>
          <w:tcPr>
            <w:tcW w:type="dxa" w:w="1337"/>
          </w:tcPr>
          <w:p>
            <w:pPr>
              <w:pStyle w:val="TableText"/>
              <w:jc w:val="center"/>
            </w:pPr>
            <w:r/>
            <w:r>
              <w:rPr/>
              <w:t xml:space="preserve">0.44</w:t>
            </w:r>
          </w:p>
        </w:tc>
      </w:tr>
      <w:tr>
        <w:tc>
          <w:tcPr>
            <w:tcW w:type="dxa" w:w="1337"/>
          </w:tcPr>
          <w:p>
            <w:pPr>
              <w:pStyle w:val="TableText"/>
            </w:pPr>
            <w:r/>
            <w:r>
              <w:rPr/>
              <w:t xml:space="preserve">2</w:t>
            </w:r>
          </w:p>
        </w:tc>
        <w:tc>
          <w:tcPr>
            <w:tcW w:type="dxa" w:w="1337"/>
          </w:tcPr>
          <w:p>
            <w:pPr>
              <w:pStyle w:val="TableText"/>
            </w:pPr>
            <w:r/>
            <w:r>
              <w:rPr>
                <w:i/>
              </w:rPr>
              <w:t xml:space="preserve">xiān</w:t>
            </w:r>
          </w:p>
        </w:tc>
        <w:tc>
          <w:tcPr>
            <w:tcW w:type="dxa" w:w="1337"/>
          </w:tcPr>
          <w:p>
            <w:pPr>
              <w:pStyle w:val="TableText"/>
              <w:jc w:val="center"/>
            </w:pPr>
            <w:r/>
            <w:r>
              <w:rPr/>
              <w:t xml:space="preserve">0.12</w:t>
            </w:r>
          </w:p>
        </w:tc>
        <w:tc>
          <w:tcPr>
            <w:tcW w:type="dxa" w:w="1337"/>
          </w:tcPr>
          <w:p>
            <w:pPr>
              <w:pStyle w:val="TableText"/>
              <w:jc w:val="center"/>
            </w:pPr>
            <w:r/>
            <w:r>
              <w:rPr/>
              <w:t xml:space="preserve">0.18</w:t>
            </w:r>
          </w:p>
        </w:tc>
        <w:tc>
          <w:tcPr>
            <w:tcW w:type="dxa" w:w="1337"/>
          </w:tcPr>
          <w:p>
            <w:pPr>
              <w:pStyle w:val="TableText"/>
            </w:pPr>
            <w:r/>
            <w:r>
              <w:rPr>
                <w:i/>
              </w:rPr>
              <w:t xml:space="preserve">pāi</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3</w:t>
            </w:r>
          </w:p>
        </w:tc>
        <w:tc>
          <w:tcPr>
            <w:tcW w:type="dxa" w:w="1337"/>
          </w:tcPr>
          <w:p>
            <w:pPr>
              <w:pStyle w:val="TableText"/>
            </w:pPr>
            <w:r/>
            <w:r>
              <w:rPr>
                <w:i/>
              </w:rPr>
              <w:t xml:space="preserve">bāi</w:t>
            </w:r>
          </w:p>
        </w:tc>
        <w:tc>
          <w:tcPr>
            <w:tcW w:type="dxa" w:w="1337"/>
          </w:tcPr>
          <w:p>
            <w:pPr>
              <w:pStyle w:val="TableText"/>
              <w:jc w:val="center"/>
            </w:pPr>
            <w:r/>
            <w:r>
              <w:rPr/>
              <w:t xml:space="preserve">0.88</w:t>
            </w:r>
          </w:p>
        </w:tc>
        <w:tc>
          <w:tcPr>
            <w:tcW w:type="dxa" w:w="1337"/>
          </w:tcPr>
          <w:p>
            <w:pPr>
              <w:pStyle w:val="TableText"/>
              <w:jc w:val="center"/>
            </w:pPr>
            <w:r/>
            <w:r>
              <w:rPr/>
              <w:t xml:space="preserve">0.88</w:t>
            </w:r>
          </w:p>
        </w:tc>
        <w:tc>
          <w:tcPr>
            <w:tcW w:type="dxa" w:w="1337"/>
          </w:tcPr>
          <w:p>
            <w:pPr>
              <w:pStyle w:val="TableText"/>
            </w:pPr>
            <w:r/>
            <w:r>
              <w:rPr>
                <w:i/>
              </w:rPr>
              <w:t xml:space="preserve">àn</w:t>
            </w:r>
          </w:p>
        </w:tc>
        <w:tc>
          <w:tcPr>
            <w:tcW w:type="dxa" w:w="1337"/>
          </w:tcPr>
          <w:p>
            <w:pPr>
              <w:pStyle w:val="TableText"/>
              <w:jc w:val="center"/>
            </w:pPr>
            <w:r/>
            <w:r>
              <w:rPr/>
              <w:t xml:space="preserve">0.62</w:t>
            </w:r>
          </w:p>
        </w:tc>
        <w:tc>
          <w:tcPr>
            <w:tcW w:type="dxa" w:w="1337"/>
          </w:tcPr>
          <w:p>
            <w:pPr>
              <w:pStyle w:val="TableText"/>
              <w:jc w:val="center"/>
            </w:pPr>
            <w:r/>
            <w:r>
              <w:rPr/>
              <w:t xml:space="preserve">0.55</w:t>
            </w:r>
          </w:p>
        </w:tc>
      </w:tr>
      <w:tr>
        <w:tc>
          <w:tcPr>
            <w:tcW w:type="dxa" w:w="1337"/>
          </w:tcPr>
          <w:p>
            <w:pPr>
              <w:pStyle w:val="TableText"/>
            </w:pPr>
            <w:r/>
            <w:r>
              <w:rPr/>
              <w:t xml:space="preserve">4</w:t>
            </w:r>
          </w:p>
        </w:tc>
        <w:tc>
          <w:tcPr>
            <w:tcW w:type="dxa" w:w="1337"/>
          </w:tcPr>
          <w:p>
            <w:pPr>
              <w:pStyle w:val="TableText"/>
            </w:pPr>
            <w:r/>
            <w:r>
              <w:rPr>
                <w:i/>
              </w:rPr>
              <w:t xml:space="preserve">sī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chě</w:t>
            </w:r>
          </w:p>
        </w:tc>
        <w:tc>
          <w:tcPr>
            <w:tcW w:type="dxa" w:w="1337"/>
          </w:tcPr>
          <w:p>
            <w:pPr>
              <w:pStyle w:val="TableText"/>
              <w:jc w:val="center"/>
            </w:pPr>
            <w:r/>
            <w:r>
              <w:rPr/>
              <w:t xml:space="preserve">0.38</w:t>
            </w:r>
          </w:p>
        </w:tc>
        <w:tc>
          <w:tcPr>
            <w:tcW w:type="dxa" w:w="1337"/>
          </w:tcPr>
          <w:p>
            <w:pPr>
              <w:pStyle w:val="TableText"/>
              <w:jc w:val="center"/>
            </w:pPr>
            <w:r/>
            <w:r>
              <w:rPr/>
              <w:t xml:space="preserve">0.33</w:t>
            </w:r>
          </w:p>
        </w:tc>
      </w:tr>
      <w:tr>
        <w:tc>
          <w:tcPr>
            <w:tcW w:type="dxa" w:w="1337"/>
          </w:tcPr>
          <w:p>
            <w:pPr>
              <w:pStyle w:val="TableText"/>
            </w:pPr>
            <w:r/>
            <w:r>
              <w:rPr/>
              <w:t xml:space="preserve">5</w:t>
            </w:r>
          </w:p>
        </w:tc>
        <w:tc>
          <w:tcPr>
            <w:tcW w:type="dxa" w:w="1337"/>
          </w:tcPr>
          <w:p>
            <w:pPr>
              <w:pStyle w:val="TableText"/>
            </w:pPr>
            <w:r/>
            <w:r>
              <w:rPr>
                <w:i/>
              </w:rPr>
              <w:t xml:space="preserve">chuī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huī</w:t>
            </w:r>
          </w:p>
        </w:tc>
        <w:tc>
          <w:tcPr>
            <w:tcW w:type="dxa" w:w="1337"/>
          </w:tcPr>
          <w:p>
            <w:pPr>
              <w:pStyle w:val="TableText"/>
              <w:jc w:val="center"/>
            </w:pPr>
            <w:r/>
            <w:r>
              <w:rPr/>
              <w:t xml:space="preserve">0.50</w:t>
            </w:r>
          </w:p>
        </w:tc>
        <w:tc>
          <w:tcPr>
            <w:tcW w:type="dxa" w:w="1337"/>
          </w:tcPr>
          <w:p>
            <w:pPr>
              <w:pStyle w:val="TableText"/>
              <w:jc w:val="center"/>
            </w:pPr>
            <w:r/>
            <w:r>
              <w:rPr/>
              <w:t xml:space="preserve">0.50</w:t>
            </w:r>
          </w:p>
        </w:tc>
      </w:tr>
      <w:tr>
        <w:tc>
          <w:tcPr>
            <w:tcW w:type="dxa" w:w="1337"/>
          </w:tcPr>
          <w:p>
            <w:pPr>
              <w:pStyle w:val="TableText"/>
            </w:pPr>
            <w:r/>
            <w:r>
              <w:rPr/>
              <w:t xml:space="preserve">6</w:t>
            </w:r>
          </w:p>
        </w:tc>
        <w:tc>
          <w:tcPr>
            <w:tcW w:type="dxa" w:w="1337"/>
          </w:tcPr>
          <w:p>
            <w:pPr>
              <w:pStyle w:val="TableText"/>
            </w:pPr>
            <w:r/>
            <w:r>
              <w:rPr>
                <w:i/>
              </w:rPr>
              <w:t xml:space="preserve">tī</w:t>
            </w:r>
          </w:p>
        </w:tc>
        <w:tc>
          <w:tcPr>
            <w:tcW w:type="dxa" w:w="1337"/>
          </w:tcPr>
          <w:p>
            <w:pPr>
              <w:pStyle w:val="TableText"/>
              <w:jc w:val="center"/>
            </w:pPr>
            <w:r/>
            <w:r>
              <w:rPr/>
              <w:t xml:space="preserve">0.75</w:t>
            </w:r>
          </w:p>
        </w:tc>
        <w:tc>
          <w:tcPr>
            <w:tcW w:type="dxa" w:w="1337"/>
          </w:tcPr>
          <w:p>
            <w:pPr>
              <w:pStyle w:val="TableText"/>
              <w:jc w:val="center"/>
            </w:pPr>
            <w:r/>
            <w:r>
              <w:rPr/>
              <w:t xml:space="preserve">0.70</w:t>
            </w:r>
          </w:p>
        </w:tc>
        <w:tc>
          <w:tcPr>
            <w:tcW w:type="dxa" w:w="1337"/>
          </w:tcPr>
          <w:p>
            <w:pPr>
              <w:pStyle w:val="TableText"/>
            </w:pPr>
            <w:r/>
            <w:r>
              <w:rPr>
                <w:i/>
              </w:rPr>
              <w:t xml:space="preserve">tuī</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7ᵃ</w:t>
            </w:r>
          </w:p>
        </w:tc>
        <w:tc>
          <w:tcPr>
            <w:tcW w:type="dxa" w:w="1337"/>
          </w:tcPr>
          <w:p>
            <w:pPr>
              <w:pStyle w:val="TableText"/>
            </w:pPr>
            <w:r/>
            <w:r>
              <w:rPr>
                <w:i/>
              </w:rPr>
              <w:t xml:space="preserve">qiā</w:t>
            </w:r>
          </w:p>
        </w:tc>
        <w:tc>
          <w:tcPr>
            <w:tcW w:type="dxa" w:w="1337"/>
          </w:tcPr>
          <w:p>
            <w:pPr>
              <w:pStyle w:val="TableText"/>
              <w:jc w:val="center"/>
            </w:pPr>
            <w:r/>
            <w:r>
              <w:rPr/>
              <w:t xml:space="preserve">0.62</w:t>
            </w:r>
          </w:p>
        </w:tc>
        <w:tc>
          <w:tcPr>
            <w:tcW w:type="dxa" w:w="1337"/>
          </w:tcPr>
          <w:p>
            <w:pPr>
              <w:pStyle w:val="TableText"/>
              <w:jc w:val="center"/>
            </w:pPr>
            <w:r/>
            <w:r>
              <w:rPr/>
              <w:t xml:space="preserve">0.80</w:t>
            </w:r>
          </w:p>
        </w:tc>
        <w:tc>
          <w:tcPr>
            <w:tcW w:type="dxa" w:w="1337"/>
          </w:tcPr>
          <w:p>
            <w:pPr>
              <w:pStyle w:val="TableText"/>
            </w:pPr>
            <w:r/>
            <w:r>
              <w:rPr>
                <w:i/>
              </w:rPr>
              <w:t xml:space="preserve">jiào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8ᵃ</w:t>
            </w:r>
          </w:p>
        </w:tc>
        <w:tc>
          <w:tcPr>
            <w:tcW w:type="dxa" w:w="1337"/>
          </w:tcPr>
          <w:p>
            <w:pPr>
              <w:pStyle w:val="TableText"/>
            </w:pPr>
            <w:r/>
            <w:r>
              <w:rPr>
                <w:i/>
              </w:rPr>
              <w:t xml:space="preserve">tú</w:t>
            </w:r>
          </w:p>
        </w:tc>
        <w:tc>
          <w:tcPr>
            <w:tcW w:type="dxa" w:w="1337"/>
          </w:tcPr>
          <w:p>
            <w:pPr>
              <w:pStyle w:val="TableText"/>
              <w:jc w:val="center"/>
            </w:pPr>
            <w:r/>
            <w:r>
              <w:rPr/>
              <w:t xml:space="preserve">0.88</w:t>
            </w:r>
          </w:p>
        </w:tc>
        <w:tc>
          <w:tcPr>
            <w:tcW w:type="dxa" w:w="1337"/>
          </w:tcPr>
          <w:p>
            <w:pPr>
              <w:pStyle w:val="TableText"/>
              <w:jc w:val="center"/>
            </w:pPr>
            <w:r/>
            <w:r>
              <w:rPr/>
              <w:t xml:space="preserve">0.89</w:t>
            </w:r>
          </w:p>
        </w:tc>
        <w:tc>
          <w:tcPr>
            <w:tcW w:type="dxa" w:w="1337"/>
          </w:tcPr>
          <w:p>
            <w:pPr>
              <w:pStyle w:val="TableText"/>
            </w:pPr>
            <w:r/>
            <w:r>
              <w:rPr>
                <w:i/>
              </w:rPr>
              <w:t xml:space="preserve">náo</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r>
      <w:tr>
        <w:tc>
          <w:tcPr>
            <w:tcW w:type="dxa" w:w="1337"/>
          </w:tcPr>
          <w:p>
            <w:pPr>
              <w:pStyle w:val="TableText"/>
            </w:pPr>
            <w:r/>
            <w:r>
              <w:rPr/>
              <w:t xml:space="preserve">9</w:t>
            </w:r>
          </w:p>
        </w:tc>
        <w:tc>
          <w:tcPr>
            <w:tcW w:type="dxa" w:w="1337"/>
          </w:tcPr>
          <w:p>
            <w:pPr>
              <w:pStyle w:val="TableText"/>
            </w:pPr>
            <w:r/>
            <w:r>
              <w:rPr>
                <w:i/>
              </w:rPr>
              <w:t xml:space="preserve">cā</w:t>
            </w:r>
          </w:p>
        </w:tc>
        <w:tc>
          <w:tcPr>
            <w:tcW w:type="dxa" w:w="1337"/>
          </w:tcPr>
          <w:p>
            <w:pPr>
              <w:pStyle w:val="TableText"/>
              <w:jc w:val="center"/>
            </w:pPr>
            <w:r/>
            <w:r>
              <w:rPr/>
              <w:t xml:space="preserve">1.00</w:t>
            </w:r>
          </w:p>
        </w:tc>
        <w:tc>
          <w:tcPr>
            <w:tcW w:type="dxa" w:w="1337"/>
          </w:tcPr>
          <w:p>
            <w:pPr>
              <w:pStyle w:val="TableText"/>
              <w:jc w:val="center"/>
            </w:pPr>
            <w:r/>
            <w:r>
              <w:rPr/>
              <w:t xml:space="preserve">1.00</w:t>
            </w:r>
          </w:p>
        </w:tc>
        <w:tc>
          <w:tcPr>
            <w:tcW w:type="dxa" w:w="1337"/>
          </w:tcPr>
          <w:p>
            <w:pPr>
              <w:pStyle w:val="TableText"/>
            </w:pPr>
            <w:r/>
            <w:r>
              <w:rPr>
                <w:i/>
              </w:rPr>
              <w:t xml:space="preserve">chōng</w:t>
            </w:r>
          </w:p>
        </w:tc>
        <w:tc>
          <w:tcPr>
            <w:tcW w:type="dxa" w:w="1337"/>
          </w:tcPr>
          <w:p>
            <w:pPr>
              <w:pStyle w:val="TableText"/>
              <w:jc w:val="center"/>
            </w:pPr>
            <w:r/>
            <w:r>
              <w:rPr/>
              <w:t xml:space="preserve">0.75</w:t>
            </w:r>
          </w:p>
        </w:tc>
        <w:tc>
          <w:tcPr>
            <w:tcW w:type="dxa" w:w="1337"/>
          </w:tcPr>
          <w:p>
            <w:pPr>
              <w:pStyle w:val="TableText"/>
              <w:jc w:val="center"/>
            </w:pPr>
            <w:r/>
            <w:r>
              <w:rPr/>
              <w:t xml:space="preserve">0.73</w:t>
            </w:r>
          </w:p>
        </w:tc>
      </w:tr>
      <w:tr>
        <w:tc>
          <w:tcPr>
            <w:tcW w:type="dxa" w:w="1337"/>
          </w:tcPr>
          <w:p>
            <w:pPr>
              <w:pStyle w:val="TableText"/>
            </w:pPr>
            <w:r/>
            <w:r>
              <w:rPr/>
              <w:t xml:space="preserve">10</w:t>
            </w:r>
          </w:p>
        </w:tc>
        <w:tc>
          <w:tcPr>
            <w:tcW w:type="dxa" w:w="1337"/>
          </w:tcPr>
          <w:p>
            <w:pPr>
              <w:pStyle w:val="TableText"/>
            </w:pPr>
            <w:r/>
            <w:r>
              <w:rPr>
                <w:i/>
              </w:rPr>
              <w:t xml:space="preserve">jiā</w:t>
            </w:r>
          </w:p>
        </w:tc>
        <w:tc>
          <w:tcPr>
            <w:tcW w:type="dxa" w:w="1337"/>
          </w:tcPr>
          <w:p>
            <w:pPr>
              <w:pStyle w:val="TableText"/>
              <w:jc w:val="center"/>
            </w:pPr>
            <w:r/>
            <w:r>
              <w:rPr/>
              <w:t xml:space="preserve">0.62</w:t>
            </w:r>
          </w:p>
        </w:tc>
        <w:tc>
          <w:tcPr>
            <w:tcW w:type="dxa" w:w="1337"/>
          </w:tcPr>
          <w:p>
            <w:pPr>
              <w:pStyle w:val="TableText"/>
              <w:jc w:val="center"/>
            </w:pPr>
            <w:r/>
            <w:r>
              <w:rPr/>
              <w:t xml:space="preserve">0.64</w:t>
            </w:r>
          </w:p>
        </w:tc>
        <w:tc>
          <w:tcPr>
            <w:tcW w:type="dxa" w:w="1337"/>
          </w:tcPr>
          <w:p>
            <w:pPr>
              <w:pStyle w:val="TableText"/>
            </w:pPr>
            <w:r/>
            <w:r>
              <w:rPr>
                <w:i/>
              </w:rPr>
              <w:t xml:space="preserve">chuí</w:t>
            </w:r>
          </w:p>
        </w:tc>
        <w:tc>
          <w:tcPr>
            <w:tcW w:type="dxa" w:w="1337"/>
          </w:tcPr>
          <w:p>
            <w:pPr>
              <w:pStyle w:val="TableText"/>
              <w:jc w:val="center"/>
            </w:pPr>
            <w:r/>
            <w:r>
              <w:rPr/>
              <w:t xml:space="preserve">0.38</w:t>
            </w:r>
          </w:p>
        </w:tc>
        <w:tc>
          <w:tcPr>
            <w:tcW w:type="dxa" w:w="1337"/>
          </w:tcPr>
          <w:p>
            <w:pPr>
              <w:pStyle w:val="TableText"/>
              <w:jc w:val="center"/>
            </w:pPr>
            <w:r/>
            <w:r>
              <w:rPr/>
              <w:t xml:space="preserve">0.36</w:t>
            </w:r>
          </w:p>
        </w:tc>
      </w:tr>
    </w:tbl>
    <w:p w14:paraId="461146B5" w14:textId="764D5272" w:rsidR="009D4CF3" w:rsidRPr="0055050F" w:rsidRDefault="00000000">
      <w:pPr>
        <w:pStyle w:val="TableNote"/>
        <w:rPr>
          <w:rFonts w:eastAsiaTheme="minorEastAsia"/>
        </w:rPr>
      </w:pPr>
      <w:r>
        <w:rPr>
          <w:i/>
        </w:rPr>
        <w:t xml:space="preserve">Note.</w:t>
      </w:r>
      <w:r>
        <w:rPr/>
        <w:t xml:space="preserve"> First = proportion of participants whose first description contained the intended V1; All = proportion of all descriptions, including those given on request, that contained the intended V1 (</w:t>
      </w:r>
      <w:r>
        <w:rPr>
          <w:i/>
        </w:rPr>
        <w:t xml:space="preserve">n</w:t>
      </w:r>
      <w:r>
        <w:rPr/>
        <w:t xml:space="preserve"> = 8 participants per video). The All values are used as the covariate in the sensitivity analysis of Experiment 1 (Section S2). ᵃ Excluded from the analyses of Experiment 1.</w:t>
      </w:r>
    </w:p>
    <w:p w14:paraId="461146B5" w14:textId="764D5272" w:rsidR="009D4CF3" w:rsidRPr="0055050F" w:rsidRDefault="00000000">
      <w:pPr>
        <w:pStyle w:val="Heading1"/>
        <w:pageBreakBefore/>
      </w:pPr>
      <w:r>
        <w:rPr/>
        <w:t xml:space="preserve">Section S2</w:t>
      </w:r>
    </w:p>
    <w:p w14:paraId="461146B5" w14:textId="764D5272" w:rsidR="009D4CF3" w:rsidRPr="0055050F" w:rsidRDefault="00000000">
      <w:pPr>
        <w:pStyle w:val="Heading1"/>
      </w:pPr>
      <w:r>
        <w:rPr/>
        <w:t xml:space="preserve">Sensitivity Analyses for Experiment 1</w:t>
      </w:r>
    </w:p>
    <w:p w14:paraId="461146B5" w14:textId="764D5272" w:rsidR="009D4CF3" w:rsidRPr="0055050F" w:rsidRDefault="00000000">
      <w:pPr/>
      <w:r>
        <w:rPr/>
        <w:t xml:space="preserve">With all 10 pairs, the conclusions were unchanged, except that the Form × Result Realization interaction in 5-year-olds was now clearly positive. The Form × Result Realization interaction on the log-odds scale was 1.05 [−1.47, 3.49] for 4-year-olds (</w:t>
      </w:r>
      <w:r>
        <w:rPr>
          <w:i/>
        </w:rPr>
        <w:t xml:space="preserve">p</w:t>
      </w:r>
      <w:r>
        <w:rPr/>
        <w:t xml:space="preserve">(&gt; 0) = .79), 4.01 [1.62, 6.47] for 5-year-olds (</w:t>
      </w:r>
      <w:r>
        <w:rPr>
          <w:i/>
        </w:rPr>
        <w:t xml:space="preserve">p</w:t>
      </w:r>
      <w:r>
        <w:rPr/>
        <w:t xml:space="preserve">(&gt; 0) &gt; .99), and 4.78 [−1.79, 9.36] for adults (</w:t>
      </w:r>
      <w:r>
        <w:rPr>
          <w:i/>
        </w:rPr>
        <w:t xml:space="preserve">p</w:t>
      </w:r>
      <w:r>
        <w:rPr/>
        <w:t xml:space="preserve">(&gt; 0) = .93). The association effect in zero-result events was 4.05 [1.27, 7.34] for 4-year-olds (</w:t>
      </w:r>
      <w:r>
        <w:rPr>
          <w:i/>
        </w:rPr>
        <w:t xml:space="preserve">p</w:t>
      </w:r>
      <w:r>
        <w:rPr/>
        <w:t xml:space="preserve">(&gt; 0) &gt; .99), 2.71 [−0.08, 5.77] for 5-year-olds (</w:t>
      </w:r>
      <w:r>
        <w:rPr>
          <w:i/>
        </w:rPr>
        <w:t xml:space="preserve">p</w:t>
      </w:r>
      <w:r>
        <w:rPr/>
        <w:t xml:space="preserve">(&gt; 0) = .97), and 4.83 [1.67, 8.67] for adults (</w:t>
      </w:r>
      <w:r>
        <w:rPr>
          <w:i/>
        </w:rPr>
        <w:t xml:space="preserve">p</w:t>
      </w:r>
      <w:r>
        <w:rPr/>
        <w:t xml:space="preserve">(&gt; 0) &gt; .99), and it again did not differ credibly between children and adults (log-odds: −1.41 [−5.26, 1.90]; probability: 0.27 [−0.16, 0.61]).</w:t>
      </w:r>
    </w:p>
    <w:p w14:paraId="461146B5" w14:textId="764D5272" w:rsidR="009D4CF3" w:rsidRPr="0055050F" w:rsidRDefault="00000000">
      <w:pPr/>
      <w:r>
        <w:rPr/>
        <w:t xml:space="preserve">When each of the eight retained pairs was left out in turn, the association effect in zero-result events, averaged over age groups, ranged from 3.23 to 4.25 on the log-odds scale, and its 95% CrI excluded zero in every refit (</w:t>
      </w:r>
      <w:r>
        <w:rPr>
          <w:i/>
        </w:rPr>
        <w:t xml:space="preserve">p</w:t>
      </w:r>
      <w:r>
        <w:rPr/>
        <w:t xml:space="preserve">(&gt; 0) ≥ .99). The Action–Result Association × Age Group comparison remained inconclusive in every refit (children minus adults, log-odds: −2.58 to −0.55; probability: 0.19 to 0.36; all intervals including zero). Frequentist models with the full interaction structure produced unstable estimates because of near-ceiling acceptance in full-result events, as anticipated in the Analysis Plan. A frequentist model restricted to V1 descriptions of zero-result events, with random intercepts for participants and items, showed effects of action–result association, χ²(1) = 6.21, </w:t>
      </w:r>
      <w:r>
        <w:rPr>
          <w:i/>
        </w:rPr>
        <w:t xml:space="preserve">p</w:t>
      </w:r>
      <w:r>
        <w:rPr/>
        <w:t xml:space="preserve"> = .013, and age group, χ²(2) = 9.76, </w:t>
      </w:r>
      <w:r>
        <w:rPr>
          <w:i/>
        </w:rPr>
        <w:t xml:space="preserve">p</w:t>
      </w:r>
      <w:r>
        <w:rPr/>
        <w:t xml:space="preserve"> = .008, but no interaction, χ²(2) = 0.68, </w:t>
      </w:r>
      <w:r>
        <w:rPr>
          <w:i/>
        </w:rPr>
        <w:t xml:space="preserve">p</w:t>
      </w:r>
      <w:r>
        <w:rPr/>
        <w:t xml:space="preserve"> = .71. Adding the item-level verb–video correspondence values (Table S1, proportion of all descriptions containing the intended V1, centered) and their interaction with Result Realization as covariates did not change the conclusions. The covariate effects were small and uncertain (Model 1: 0.20 [−1.67, 2.08]; Model 2: −0.13 [−2.42, 2.21]). The Form × Result Realization interaction was 0.49 [−2.93, 3.45] for 4-year-olds, 2.70 [−0.45, 5.73] for 5-year-olds, and 6.38 [−0.21, 11.90] for adults, and the association effect in zero-result events, averaged over age groups, was 3.86 [1.13, 6.88], </w:t>
      </w:r>
      <w:r>
        <w:rPr>
          <w:i/>
        </w:rPr>
        <w:t xml:space="preserve">p</w:t>
      </w:r>
      <w:r>
        <w:rPr/>
        <w:t xml:space="preserve">(&gt; 0) &gt; .99, with no credible difference between children and adults (log-odds: −1.16 [−5.58, 2.96]; probability: 0.32 [−0.29, 0.72]).</w:t>
      </w:r>
    </w:p>
    <w:p w14:paraId="461146B5" w14:textId="764D5272" w:rsidR="009D4CF3" w:rsidRPr="0055050F" w:rsidRDefault="00000000">
      <w:pPr>
        <w:pStyle w:val="Heading1"/>
        <w:pageBreakBefore/>
      </w:pPr>
      <w:r>
        <w:rPr/>
        <w:t xml:space="preserve">Section S3</w:t>
      </w:r>
    </w:p>
    <w:p w14:paraId="461146B5" w14:textId="764D5272" w:rsidR="009D4CF3" w:rsidRPr="0055050F" w:rsidRDefault="00000000">
      <w:pPr>
        <w:pStyle w:val="Heading1"/>
      </w:pPr>
      <w:r>
        <w:rPr/>
        <w:t xml:space="preserve">Item-Level Acceptance in Experiment 1</w:t>
      </w:r>
    </w:p>
    <w:p w14:paraId="461146B5" w14:textId="764D5272" w:rsidR="009D4CF3" w:rsidRPr="0055050F" w:rsidRDefault="00000000">
      <w:pPr/>
      <w:r>
        <w:rPr/>
        <w:t xml:space="preserve">Table S2 shows acceptance of each RVC and V1 description by result realization for children, pooled across the two age groups, and adults. In zero-result events, in seven of the eight pairs, the stronger-association V1 was accepted less often than its weaker-association partner by children, and in six of the eight pairs by adults; the remaining adult pairs were at ceiling for both V1s (Pair 2) or for both groups (Pair 9). The association effect was thus carried by most pairs rather than by one or two. Pair 9 (</w:t>
      </w:r>
      <w:r>
        <w:rPr>
          <w:i/>
        </w:rPr>
        <w:t xml:space="preserve">cā</w:t>
      </w:r>
      <w:r>
        <w:rPr/>
        <w:t xml:space="preserve"> “wipe” vs. </w:t>
      </w:r>
      <w:r>
        <w:rPr>
          <w:i/>
        </w:rPr>
        <w:t xml:space="preserve">chōng</w:t>
      </w:r>
      <w:r>
        <w:rPr/>
        <w:t xml:space="preserve"> “rinse” a mirror) behaved differently from the other pairs: Both V1s were accepted in all zero-result trials, and children also accepted the RVC descriptions of the zero-result videos in 50% (</w:t>
      </w:r>
      <w:r>
        <w:rPr>
          <w:i/>
        </w:rPr>
        <w:t xml:space="preserve">cā-gānjìng</w:t>
      </w:r>
      <w:r>
        <w:rPr/>
        <w:t xml:space="preserve">) and 75% (</w:t>
      </w:r>
      <w:r>
        <w:rPr>
          <w:i/>
        </w:rPr>
        <w:t xml:space="preserve">chōng-gānjìng</w:t>
      </w:r>
      <w:r>
        <w:rPr/>
        <w:t xml:space="preserve">) of trials, as did one of the five adults who judged </w:t>
      </w:r>
      <w:r>
        <w:rPr>
          <w:i/>
        </w:rPr>
        <w:t xml:space="preserve">cā-gānjìng</w:t>
      </w:r>
      <w:r>
        <w:rPr/>
        <w:t xml:space="preserve">. In the videos of this pair, the stain on the mirror was a small red spot in one corner and was not very conspicuous, so that whether the mirror had become clean was difficult to see; one child explained a rejection by saying that only one side of the mirror had been wiped. Acceptance of the RVC descriptions in zero-result events was otherwise low for every pair (children: 0%–38%; adults: 0%).</w:t>
      </w:r>
    </w:p>
    <w:p w14:paraId="461146B5" w14:textId="764D5272" w:rsidR="009D4CF3" w:rsidRPr="0055050F" w:rsidRDefault="00000000">
      <w:pPr>
        <w:pStyle w:val="TableNumber"/>
        <w:pageBreakBefore/>
      </w:pPr>
      <w:r>
        <w:rPr/>
        <w:t xml:space="preserve">Table S2</w:t>
      </w:r>
    </w:p>
    <w:p w14:paraId="461146B5" w14:textId="764D5272" w:rsidR="009D4CF3" w:rsidRPr="0055050F" w:rsidRDefault="00000000">
      <w:pPr>
        <w:pStyle w:val="TableTitle"/>
      </w:pPr>
      <w:r>
        <w:rPr>
          <w:i/>
        </w:rPr>
        <w:t xml:space="preserve">Acceptance (%) of Each RVC and V1 Description by Result Realization for Children and Adults (Experiment 1)</w:t>
      </w:r>
    </w:p>
    <w:tbl>
      <w:tblPr>
        <w:tblW w:w="9360" w:type="dxa"/>
        <w:jc w:val="center"/>
        <w:tblBorders>
          <w:top w:val="single" w:sz="8" w:space="0" w:color="000000"/>
          <w:left w:val="nil"/>
          <w:bottom w:val="single" w:sz="8" w:space="0" w:color="000000"/>
          <w:right w:val="nil"/>
          <w:insideH w:val="nil"/>
          <w:insideV w:val="nil"/>
        </w:tblBorders>
        <w:tblCellMar>
          <w:left w:w="58" w:type="dxa"/>
          <w:right w:w="58" w:type="dxa"/>
        </w:tblCellMar>
        <w:tblLook w:val="04A0" w:firstRow="1" w:lastRow="0" w:firstColumn="1" w:lastColumn="0" w:noHBand="0" w:noVBand="1"/>
      </w:tblPr>
      <w:tblGrid>
        <w:gridCol w:w="936"/>
        <w:gridCol w:w="936"/>
        <w:gridCol w:w="936"/>
        <w:gridCol w:w="936"/>
        <w:gridCol w:w="936"/>
        <w:gridCol w:w="936"/>
        <w:gridCol w:w="936"/>
        <w:gridCol w:w="936"/>
        <w:gridCol w:w="936"/>
        <w:gridCol w:w="936"/>
      </w:tblGrid>
      <w:tr>
        <w:trPr>
          <w:tblHeader/>
        </w:trPr>
        <w:tc>
          <w:tcPr>
            <w:tcW w:type="dxa" w:w="936"/>
          </w:tcPr>
          <w:p>
            <w:pPr>
              <w:pStyle w:val="TableText"/>
            </w:pPr>
            <w:r/>
            <w:r>
              <w:rPr/>
              <w:t xml:space="preserve">Pair</w:t>
            </w:r>
          </w:p>
        </w:tc>
        <w:tc>
          <w:tcPr>
            <w:tcW w:type="dxa" w:w="936"/>
          </w:tcPr>
          <w:p>
            <w:pPr>
              <w:pStyle w:val="TableText"/>
            </w:pPr>
            <w:r/>
            <w:r>
              <w:rPr/>
              <w:t xml:space="preserve">V1</w:t>
            </w:r>
          </w:p>
        </w:tc>
        <w:tc>
          <w:tcPr>
            <w:tcW w:type="dxa" w:w="1872"/>
            <w:gridSpan w:val="2"/>
            <w:tcBorders>
              <w:bottom w:val="single" w:sz="4" w:space="0" w:color="000000"/>
            </w:tcBorders>
          </w:tcPr>
          <w:p>
            <w:pPr>
              <w:pStyle w:val="TableText"/>
              <w:jc w:val="center"/>
            </w:pPr>
            <w:r/>
            <w:r>
              <w:rPr/>
              <w:t xml:space="preserve">RVC, full result</w:t>
            </w:r>
          </w:p>
        </w:tc>
        <w:tc>
          <w:tcPr>
            <w:tcW w:type="dxa" w:w="1872"/>
            <w:gridSpan w:val="2"/>
            <w:tcBorders>
              <w:bottom w:val="single" w:sz="4" w:space="0" w:color="000000"/>
            </w:tcBorders>
          </w:tcPr>
          <w:p>
            <w:pPr>
              <w:pStyle w:val="TableText"/>
              <w:jc w:val="center"/>
            </w:pPr>
            <w:r/>
            <w:r>
              <w:rPr/>
              <w:t xml:space="preserve">RVC, zero result</w:t>
            </w:r>
          </w:p>
        </w:tc>
        <w:tc>
          <w:tcPr>
            <w:tcW w:type="dxa" w:w="1872"/>
            <w:gridSpan w:val="2"/>
            <w:tcBorders>
              <w:bottom w:val="single" w:sz="4" w:space="0" w:color="000000"/>
            </w:tcBorders>
          </w:tcPr>
          <w:p>
            <w:pPr>
              <w:pStyle w:val="TableText"/>
              <w:jc w:val="center"/>
            </w:pPr>
            <w:r/>
            <w:r>
              <w:rPr/>
              <w:t xml:space="preserve">V1, full result</w:t>
            </w:r>
          </w:p>
        </w:tc>
        <w:tc>
          <w:tcPr>
            <w:tcW w:type="dxa" w:w="1872"/>
            <w:gridSpan w:val="2"/>
            <w:tcBorders>
              <w:bottom w:val="single" w:sz="4" w:space="0" w:color="000000"/>
            </w:tcBorders>
          </w:tcPr>
          <w:p>
            <w:pPr>
              <w:pStyle w:val="TableText"/>
              <w:jc w:val="center"/>
            </w:pPr>
            <w:r/>
            <w:r>
              <w:rPr/>
              <w:t xml:space="preserve">V1, zero result</w:t>
            </w:r>
          </w:p>
        </w:tc>
      </w:tr>
      <w:tr>
        <w:trPr>
          <w:tblHeader/>
        </w:trPr>
        <w:tc>
          <w:tcPr>
            <w:tcW w:type="dxa" w:w="936"/>
            <w:tcBorders>
              <w:bottom w:val="single" w:sz="4" w:space="0" w:color="000000"/>
            </w:tcBorders>
          </w:tcPr>
          <w:p/>
        </w:tc>
        <w:tc>
          <w:tcPr>
            <w:tcW w:type="dxa" w:w="936"/>
            <w:tcBorders>
              <w:bottom w:val="single" w:sz="4" w:space="0" w:color="000000"/>
            </w:tcBorders>
          </w:tcP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c>
          <w:tcPr>
            <w:tcW w:type="dxa" w:w="936"/>
            <w:tcBorders>
              <w:bottom w:val="single" w:sz="4" w:space="0" w:color="000000"/>
            </w:tcBorders>
          </w:tcPr>
          <w:p>
            <w:pPr>
              <w:pStyle w:val="TableText"/>
              <w:jc w:val="center"/>
            </w:pPr>
            <w:r/>
            <w:r>
              <w:rPr/>
              <w:t xml:space="preserve">Ch.</w:t>
            </w:r>
          </w:p>
        </w:tc>
        <w:tc>
          <w:tcPr>
            <w:tcW w:type="dxa" w:w="936"/>
            <w:tcBorders>
              <w:bottom w:val="single" w:sz="4" w:space="0" w:color="000000"/>
            </w:tcBorders>
          </w:tcPr>
          <w:p>
            <w:pPr>
              <w:pStyle w:val="TableText"/>
              <w:jc w:val="center"/>
            </w:pPr>
            <w:r/>
            <w:r>
              <w:rPr/>
              <w:t xml:space="preserve">Ad.</w:t>
            </w:r>
          </w:p>
        </w:tc>
      </w:tr>
      <w:tr>
        <w:tc>
          <w:tcPr>
            <w:tcW w:type="dxa" w:w="936"/>
          </w:tcPr>
          <w:p>
            <w:pPr>
              <w:pStyle w:val="TableText"/>
            </w:pPr>
            <w:r/>
            <w:r>
              <w:rPr/>
              <w:t xml:space="preserve">1</w:t>
            </w:r>
          </w:p>
        </w:tc>
        <w:tc>
          <w:tcPr>
            <w:tcW w:type="dxa" w:w="936"/>
          </w:tcPr>
          <w:p>
            <w:pPr>
              <w:pStyle w:val="TableText"/>
            </w:pPr>
            <w:r/>
            <w:r>
              <w:rPr>
                <w:i/>
              </w:rPr>
              <w:t xml:space="preserve">bāo</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0</w:t>
            </w:r>
          </w:p>
        </w:tc>
      </w:tr>
      <w:tr>
        <w:tc>
          <w:tcPr>
            <w:tcW w:type="dxa" w:w="936"/>
          </w:tcPr>
          <w:p>
            <w:pPr>
              <w:pStyle w:val="TableText"/>
            </w:pPr>
            <w:r/>
          </w:p>
        </w:tc>
        <w:tc>
          <w:tcPr>
            <w:tcW w:type="dxa" w:w="936"/>
          </w:tcPr>
          <w:p>
            <w:pPr>
              <w:pStyle w:val="TableText"/>
            </w:pPr>
            <w:r/>
            <w:r>
              <w:rPr>
                <w:i/>
              </w:rPr>
              <w:t xml:space="preserve">niē</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80</w:t>
            </w:r>
          </w:p>
        </w:tc>
      </w:tr>
      <w:tr>
        <w:tc>
          <w:tcPr>
            <w:tcW w:type="dxa" w:w="936"/>
          </w:tcPr>
          <w:p>
            <w:pPr>
              <w:pStyle w:val="TableText"/>
            </w:pPr>
            <w:r/>
            <w:r>
              <w:rPr/>
              <w:t xml:space="preserve">2</w:t>
            </w:r>
          </w:p>
        </w:tc>
        <w:tc>
          <w:tcPr>
            <w:tcW w:type="dxa" w:w="936"/>
          </w:tcPr>
          <w:p>
            <w:pPr>
              <w:pStyle w:val="TableText"/>
            </w:pPr>
            <w:r/>
            <w:r>
              <w:rPr>
                <w:i/>
              </w:rPr>
              <w:t xml:space="preserve">xiān</w:t>
            </w:r>
          </w:p>
        </w:tc>
        <w:tc>
          <w:tcPr>
            <w:tcW w:type="dxa" w:w="936"/>
          </w:tcPr>
          <w:p>
            <w:pPr>
              <w:pStyle w:val="TableText"/>
              <w:jc w:val="center"/>
            </w:pPr>
            <w:r/>
            <w:r>
              <w:rPr/>
              <w:t xml:space="preserve">62</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100</w:t>
            </w:r>
          </w:p>
        </w:tc>
      </w:tr>
      <w:tr>
        <w:tc>
          <w:tcPr>
            <w:tcW w:type="dxa" w:w="936"/>
          </w:tcPr>
          <w:p>
            <w:pPr>
              <w:pStyle w:val="TableText"/>
            </w:pPr>
            <w:r/>
          </w:p>
        </w:tc>
        <w:tc>
          <w:tcPr>
            <w:tcW w:type="dxa" w:w="936"/>
          </w:tcPr>
          <w:p>
            <w:pPr>
              <w:pStyle w:val="TableText"/>
            </w:pPr>
            <w:r/>
            <w:r>
              <w:rPr>
                <w:i/>
              </w:rPr>
              <w:t xml:space="preserve">pāi</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3</w:t>
            </w:r>
          </w:p>
        </w:tc>
        <w:tc>
          <w:tcPr>
            <w:tcW w:type="dxa" w:w="936"/>
          </w:tcPr>
          <w:p>
            <w:pPr>
              <w:pStyle w:val="TableText"/>
            </w:pPr>
            <w:r/>
            <w:r>
              <w:rPr>
                <w:i/>
              </w:rPr>
              <w:t xml:space="preserve">bāi</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38</w:t>
            </w:r>
          </w:p>
        </w:tc>
        <w:tc>
          <w:tcPr>
            <w:tcW w:type="dxa" w:w="936"/>
          </w:tcPr>
          <w:p>
            <w:pPr>
              <w:pStyle w:val="TableText"/>
              <w:jc w:val="center"/>
            </w:pPr>
            <w:r/>
            <w:r>
              <w:rPr/>
              <w:t xml:space="preserve">0</w:t>
            </w:r>
          </w:p>
        </w:tc>
        <w:tc>
          <w:tcPr>
            <w:tcW w:type="dxa" w:w="936"/>
          </w:tcPr>
          <w:p>
            <w:pPr>
              <w:pStyle w:val="TableText"/>
              <w:jc w:val="center"/>
            </w:pPr>
            <w:r/>
            <w:r>
              <w:rPr/>
              <w:t xml:space="preserve">75</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àn</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4</w:t>
            </w:r>
          </w:p>
        </w:tc>
        <w:tc>
          <w:tcPr>
            <w:tcW w:type="dxa" w:w="936"/>
          </w:tcPr>
          <w:p>
            <w:pPr>
              <w:pStyle w:val="TableText"/>
            </w:pPr>
            <w:r/>
            <w:r>
              <w:rPr>
                <w:i/>
              </w:rPr>
              <w:t xml:space="preserve">sī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40</w:t>
            </w:r>
          </w:p>
        </w:tc>
      </w:tr>
      <w:tr>
        <w:tc>
          <w:tcPr>
            <w:tcW w:type="dxa" w:w="936"/>
          </w:tcPr>
          <w:p>
            <w:pPr>
              <w:pStyle w:val="TableText"/>
            </w:pPr>
            <w:r/>
          </w:p>
        </w:tc>
        <w:tc>
          <w:tcPr>
            <w:tcW w:type="dxa" w:w="936"/>
          </w:tcPr>
          <w:p>
            <w:pPr>
              <w:pStyle w:val="TableText"/>
            </w:pPr>
            <w:r/>
            <w:r>
              <w:rPr>
                <w:i/>
              </w:rPr>
              <w:t xml:space="preserve">chě</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100</w:t>
            </w:r>
          </w:p>
        </w:tc>
      </w:tr>
      <w:tr>
        <w:tc>
          <w:tcPr>
            <w:tcW w:type="dxa" w:w="936"/>
          </w:tcPr>
          <w:p>
            <w:pPr>
              <w:pStyle w:val="TableText"/>
            </w:pPr>
            <w:r/>
            <w:r>
              <w:rPr/>
              <w:t xml:space="preserve">5</w:t>
            </w:r>
          </w:p>
        </w:tc>
        <w:tc>
          <w:tcPr>
            <w:tcW w:type="dxa" w:w="936"/>
          </w:tcPr>
          <w:p>
            <w:pPr>
              <w:pStyle w:val="TableText"/>
            </w:pPr>
            <w:r/>
            <w:r>
              <w:rPr>
                <w:i/>
              </w:rPr>
              <w:t xml:space="preserve">chuī</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huī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12</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62</w:t>
            </w:r>
          </w:p>
        </w:tc>
        <w:tc>
          <w:tcPr>
            <w:tcW w:type="dxa" w:w="936"/>
          </w:tcPr>
          <w:p>
            <w:pPr>
              <w:pStyle w:val="TableText"/>
              <w:jc w:val="center"/>
            </w:pPr>
            <w:r/>
            <w:r>
              <w:rPr/>
              <w:t xml:space="preserve">100</w:t>
            </w:r>
          </w:p>
        </w:tc>
      </w:tr>
      <w:tr>
        <w:tc>
          <w:tcPr>
            <w:tcW w:type="dxa" w:w="936"/>
          </w:tcPr>
          <w:p>
            <w:pPr>
              <w:pStyle w:val="TableText"/>
            </w:pPr>
            <w:r/>
            <w:r>
              <w:rPr/>
              <w:t xml:space="preserve">6</w:t>
            </w:r>
          </w:p>
        </w:tc>
        <w:tc>
          <w:tcPr>
            <w:tcW w:type="dxa" w:w="936"/>
          </w:tcPr>
          <w:p>
            <w:pPr>
              <w:pStyle w:val="TableText"/>
            </w:pPr>
            <w:r/>
            <w:r>
              <w:rPr>
                <w:i/>
              </w:rPr>
              <w:t xml:space="preserve">tī</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25</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tuī</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100</w:t>
            </w:r>
          </w:p>
        </w:tc>
      </w:tr>
      <w:tr>
        <w:tc>
          <w:tcPr>
            <w:tcW w:type="dxa" w:w="936"/>
          </w:tcPr>
          <w:p>
            <w:pPr>
              <w:pStyle w:val="TableText"/>
            </w:pPr>
            <w:r/>
            <w:r>
              <w:rPr/>
              <w:t xml:space="preserve">7ᵃ</w:t>
            </w:r>
          </w:p>
        </w:tc>
        <w:tc>
          <w:tcPr>
            <w:tcW w:type="dxa" w:w="936"/>
          </w:tcPr>
          <w:p>
            <w:pPr>
              <w:pStyle w:val="TableText"/>
            </w:pPr>
            <w:r/>
            <w:r>
              <w:rPr>
                <w:i/>
              </w:rPr>
              <w:t xml:space="preserve">qiā</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62</w:t>
            </w:r>
          </w:p>
        </w:tc>
        <w:tc>
          <w:tcPr>
            <w:tcW w:type="dxa" w:w="936"/>
          </w:tcPr>
          <w:p>
            <w:pPr>
              <w:pStyle w:val="TableText"/>
              <w:jc w:val="center"/>
            </w:pPr>
            <w:r/>
            <w:r>
              <w:rPr/>
              <w:t xml:space="preserve">100</w:t>
            </w:r>
          </w:p>
        </w:tc>
        <w:tc>
          <w:tcPr>
            <w:tcW w:type="dxa" w:w="936"/>
          </w:tcPr>
          <w:p>
            <w:pPr>
              <w:pStyle w:val="TableText"/>
              <w:jc w:val="center"/>
            </w:pPr>
            <w:r/>
            <w:r>
              <w:rPr/>
              <w:t xml:space="preserve">62</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jiào</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8ᵃ</w:t>
            </w:r>
          </w:p>
        </w:tc>
        <w:tc>
          <w:tcPr>
            <w:tcW w:type="dxa" w:w="936"/>
          </w:tcPr>
          <w:p>
            <w:pPr>
              <w:pStyle w:val="TableText"/>
            </w:pPr>
            <w:r/>
            <w:r>
              <w:rPr>
                <w:i/>
              </w:rPr>
              <w:t xml:space="preserve">tú</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60</w:t>
            </w:r>
          </w:p>
        </w:tc>
      </w:tr>
      <w:tr>
        <w:tc>
          <w:tcPr>
            <w:tcW w:type="dxa" w:w="936"/>
          </w:tcPr>
          <w:p>
            <w:pPr>
              <w:pStyle w:val="TableText"/>
            </w:pPr>
            <w:r/>
          </w:p>
        </w:tc>
        <w:tc>
          <w:tcPr>
            <w:tcW w:type="dxa" w:w="936"/>
          </w:tcPr>
          <w:p>
            <w:pPr>
              <w:pStyle w:val="TableText"/>
            </w:pPr>
            <w:r/>
            <w:r>
              <w:rPr>
                <w:i/>
              </w:rPr>
              <w:t xml:space="preserve">náo</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20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9</w:t>
            </w:r>
          </w:p>
        </w:tc>
        <w:tc>
          <w:tcPr>
            <w:tcW w:type="dxa" w:w="936"/>
          </w:tcPr>
          <w:p>
            <w:pPr>
              <w:pStyle w:val="TableText"/>
            </w:pPr>
            <w:r/>
            <w:r>
              <w:rPr>
                <w:i/>
              </w:rPr>
              <w:t xml:space="preserve">cā</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50</w:t>
            </w:r>
          </w:p>
        </w:tc>
        <w:tc>
          <w:tcPr>
            <w:tcW w:type="dxa" w:w="936"/>
          </w:tcPr>
          <w:p>
            <w:pPr>
              <w:pStyle w:val="TableText"/>
              <w:jc w:val="center"/>
            </w:pPr>
            <w:r/>
            <w:r>
              <w:rPr/>
              <w:t xml:space="preserve">20</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p>
        </w:tc>
        <w:tc>
          <w:tcPr>
            <w:tcW w:type="dxa" w:w="936"/>
          </w:tcPr>
          <w:p>
            <w:pPr>
              <w:pStyle w:val="TableText"/>
            </w:pPr>
            <w:r/>
            <w:r>
              <w:rPr>
                <w:i/>
              </w:rPr>
              <w:t xml:space="preserve">chōng</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r>
      <w:tr>
        <w:tc>
          <w:tcPr>
            <w:tcW w:type="dxa" w:w="936"/>
          </w:tcPr>
          <w:p>
            <w:pPr>
              <w:pStyle w:val="TableText"/>
            </w:pPr>
            <w:r/>
            <w:r>
              <w:rPr/>
              <w:t xml:space="preserve">10</w:t>
            </w:r>
          </w:p>
        </w:tc>
        <w:tc>
          <w:tcPr>
            <w:tcW w:type="dxa" w:w="936"/>
          </w:tcPr>
          <w:p>
            <w:pPr>
              <w:pStyle w:val="TableText"/>
            </w:pPr>
            <w:r/>
            <w:r>
              <w:rPr>
                <w:i/>
              </w:rPr>
              <w:t xml:space="preserve">jiā</w:t>
            </w:r>
          </w:p>
        </w:tc>
        <w:tc>
          <w:tcPr>
            <w:tcW w:type="dxa" w:w="936"/>
          </w:tcPr>
          <w:p>
            <w:pPr>
              <w:pStyle w:val="TableText"/>
              <w:jc w:val="center"/>
            </w:pPr>
            <w:r/>
            <w:r>
              <w:rPr/>
              <w:t xml:space="preserve">88</w:t>
            </w:r>
          </w:p>
        </w:tc>
        <w:tc>
          <w:tcPr>
            <w:tcW w:type="dxa" w:w="936"/>
          </w:tcPr>
          <w:p>
            <w:pPr>
              <w:pStyle w:val="TableText"/>
              <w:jc w:val="center"/>
            </w:pPr>
            <w:r/>
            <w:r>
              <w:rPr/>
              <w:t xml:space="preserve">100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38</w:t>
            </w:r>
          </w:p>
        </w:tc>
        <w:tc>
          <w:tcPr>
            <w:tcW w:type="dxa" w:w="936"/>
          </w:tcPr>
          <w:p>
            <w:pPr>
              <w:pStyle w:val="TableText"/>
              <w:jc w:val="center"/>
            </w:pPr>
            <w:r/>
            <w:r>
              <w:rPr/>
              <w:t xml:space="preserve">80</w:t>
            </w:r>
          </w:p>
        </w:tc>
      </w:tr>
      <w:tr>
        <w:tc>
          <w:tcPr>
            <w:tcW w:type="dxa" w:w="936"/>
          </w:tcPr>
          <w:p>
            <w:pPr>
              <w:pStyle w:val="TableText"/>
            </w:pPr>
            <w:r/>
          </w:p>
        </w:tc>
        <w:tc>
          <w:tcPr>
            <w:tcW w:type="dxa" w:w="936"/>
          </w:tcPr>
          <w:p>
            <w:pPr>
              <w:pStyle w:val="TableText"/>
            </w:pPr>
            <w:r/>
            <w:r>
              <w:rPr>
                <w:i/>
              </w:rPr>
              <w:t xml:space="preserve">chuí</w:t>
            </w:r>
          </w:p>
        </w:tc>
        <w:tc>
          <w:tcPr>
            <w:tcW w:type="dxa" w:w="936"/>
          </w:tcPr>
          <w:p>
            <w:pPr>
              <w:pStyle w:val="TableText"/>
              <w:jc w:val="center"/>
            </w:pPr>
            <w:r/>
            <w:r>
              <w:rPr/>
              <w:t xml:space="preserve">100</w:t>
            </w:r>
          </w:p>
        </w:tc>
        <w:tc>
          <w:tcPr>
            <w:tcW w:type="dxa" w:w="936"/>
          </w:tcPr>
          <w:p>
            <w:pPr>
              <w:pStyle w:val="TableText"/>
              <w:jc w:val="center"/>
            </w:pPr>
            <w:r/>
            <w:r>
              <w:rPr/>
              <w:t xml:space="preserve">80</w:t>
            </w:r>
          </w:p>
        </w:tc>
        <w:tc>
          <w:tcPr>
            <w:tcW w:type="dxa" w:w="936"/>
          </w:tcPr>
          <w:p>
            <w:pPr>
              <w:pStyle w:val="TableText"/>
              <w:jc w:val="center"/>
            </w:pPr>
            <w:r/>
            <w:r>
              <w:rPr/>
              <w:t xml:space="preserve">0</w:t>
            </w:r>
          </w:p>
        </w:tc>
        <w:tc>
          <w:tcPr>
            <w:tcW w:type="dxa" w:w="936"/>
          </w:tcPr>
          <w:p>
            <w:pPr>
              <w:pStyle w:val="TableText"/>
              <w:jc w:val="center"/>
            </w:pPr>
            <w:r/>
            <w:r>
              <w:rPr/>
              <w:t xml:space="preserve">0</w:t>
            </w:r>
          </w:p>
        </w:tc>
        <w:tc>
          <w:tcPr>
            <w:tcW w:type="dxa" w:w="936"/>
          </w:tcPr>
          <w:p>
            <w:pPr>
              <w:pStyle w:val="TableText"/>
              <w:jc w:val="center"/>
            </w:pPr>
            <w:r/>
            <w:r>
              <w:rPr/>
              <w:t xml:space="preserve">100</w:t>
            </w:r>
          </w:p>
        </w:tc>
        <w:tc>
          <w:tcPr>
            <w:tcW w:type="dxa" w:w="936"/>
          </w:tcPr>
          <w:p>
            <w:pPr>
              <w:pStyle w:val="TableText"/>
              <w:jc w:val="center"/>
            </w:pPr>
            <w:r/>
            <w:r>
              <w:rPr/>
              <w:t xml:space="preserve">100</w:t>
            </w:r>
          </w:p>
        </w:tc>
        <w:tc>
          <w:tcPr>
            <w:tcW w:type="dxa" w:w="936"/>
          </w:tcPr>
          <w:p>
            <w:pPr>
              <w:pStyle w:val="TableText"/>
              <w:jc w:val="center"/>
            </w:pPr>
            <w:r/>
            <w:r>
              <w:rPr/>
              <w:t xml:space="preserve">75</w:t>
            </w:r>
          </w:p>
        </w:tc>
        <w:tc>
          <w:tcPr>
            <w:tcW w:type="dxa" w:w="936"/>
          </w:tcPr>
          <w:p>
            <w:pPr>
              <w:pStyle w:val="TableText"/>
              <w:jc w:val="center"/>
            </w:pPr>
            <w:r/>
            <w:r>
              <w:rPr/>
              <w:t xml:space="preserve">100</w:t>
            </w:r>
          </w:p>
        </w:tc>
      </w:tr>
    </w:tbl>
    <w:p w14:paraId="461146B5" w14:textId="764D5272" w:rsidR="009D4CF3" w:rsidRPr="0055050F" w:rsidRDefault="00000000">
      <w:pPr>
        <w:pStyle w:val="TableNote"/>
        <w:rPr>
          <w:rFonts w:eastAsiaTheme="minorEastAsia"/>
        </w:rPr>
      </w:pPr>
      <w:r>
        <w:rPr>
          <w:i/>
        </w:rPr>
        <w:t xml:space="preserve">Note.</w:t>
      </w:r>
      <w:r>
        <w:rPr/>
        <w:t xml:space="preserve"> Ch. = children, pooled across the two age groups (</w:t>
      </w:r>
      <w:r>
        <w:rPr>
          <w:i/>
        </w:rPr>
        <w:t xml:space="preserve">n</w:t>
      </w:r>
      <w:r>
        <w:rPr/>
        <w:t xml:space="preserve"> = 8 per cell); Ad. = adults (</w:t>
      </w:r>
      <w:r>
        <w:rPr>
          <w:i/>
        </w:rPr>
        <w:t xml:space="preserve">n</w:t>
      </w:r>
      <w:r>
        <w:rPr/>
        <w:t xml:space="preserve"> = 5 per cell). In each pair, the first row is the stronger-association V1. RVC rows refer to the RVC formed with the V1 in the same row. ᵃ Excluded from the analyses of Experiment 1; the stronger/weaker labels follow the original design.</w:t>
      </w:r>
    </w:p>
    <w:sectPr w:rsidR="009D4CF3">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E1366" w14:textId="77777777" w:rsidR="00B73982" w:rsidRDefault="00B73982">
      <w:r>
        <w:separator/>
      </w:r>
    </w:p>
  </w:endnote>
  <w:endnote w:type="continuationSeparator" w:id="0">
    <w:p w14:paraId="3B1032FC" w14:textId="77777777" w:rsidR="00B73982" w:rsidRDefault="00B73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FE21" w14:textId="77777777" w:rsidR="00B73982" w:rsidRDefault="00B73982">
      <w:r>
        <w:separator/>
      </w:r>
    </w:p>
  </w:footnote>
  <w:footnote w:type="continuationSeparator" w:id="0">
    <w:p w14:paraId="1A253E35" w14:textId="77777777" w:rsidR="00B73982" w:rsidRDefault="00B73982">
      <w:r>
        <w:continuationSeparator/>
      </w:r>
    </w:p>
  </w:footnote>
  <w:footnote w:id="1">
    <w:p w14:paraId="2623CB09" w14:textId="77777777" w:rsidR="008215DC" w:rsidRDefault="00000000">
      <w:r>
        <w:rPr>
          <w:rStyle w:val="FootnoteReference"/>
        </w:rPr>
        <w:footnoteRef/>
      </w:r>
      <w:r>
        <w:rPr>
          <w:sz w:val="20"/>
          <w:szCs w:val="20"/>
        </w:rPr>
        <w:t xml:space="preserve">The study concerns culmination, whether the result expressed by V2 is attained in the depicted event, rather than telicity, the presence of an inherent endpoint in the event structure of a predicate; a telic predicate may still permit non-culminating uses </w:t>
      </w:r>
      <w:r w:rsidR="005B1EF1" w:rsidRPr="005B1EF1">
        <w:rPr>
          <w:sz w:val="20"/>
          <w:szCs w:val="20"/>
        </w:rPr>
        <w:t>(Martin, 2019; see J. Liu, 2018, for Mandarin)</w:t>
      </w:r>
      <w:r>
        <w:rPr>
          <w:sz w:val="20"/>
          <w:szCs w:val="20"/>
        </w:rPr>
        <w:t xml:space="preserve">. Throughout, the </w:t>
      </w:r>
      <w:r>
        <w:rPr>
          <w:i/>
          <w:iCs/>
          <w:sz w:val="20"/>
          <w:szCs w:val="20"/>
        </w:rPr>
        <w:t>target result</w:t>
      </w:r>
      <w:r>
        <w:rPr>
          <w:sz w:val="20"/>
          <w:szCs w:val="20"/>
        </w:rPr>
        <w:t xml:space="preserve"> is the result expressed by V2 in the paired RVC; </w:t>
      </w:r>
      <w:r>
        <w:rPr>
          <w:i/>
          <w:iCs/>
          <w:sz w:val="20"/>
          <w:szCs w:val="20"/>
        </w:rPr>
        <w:t>target</w:t>
      </w:r>
      <w:r>
        <w:rPr>
          <w:sz w:val="20"/>
          <w:szCs w:val="20"/>
        </w:rPr>
        <w:t xml:space="preserve"> does not imply that the result is intended or expected. In </w:t>
      </w:r>
      <w:r>
        <w:rPr>
          <w:i/>
          <w:iCs/>
          <w:sz w:val="20"/>
          <w:szCs w:val="20"/>
        </w:rPr>
        <w:t>full-result</w:t>
      </w:r>
      <w:r>
        <w:rPr>
          <w:sz w:val="20"/>
          <w:szCs w:val="20"/>
        </w:rPr>
        <w:t xml:space="preserve"> events the target result is visibly attained; in </w:t>
      </w:r>
      <w:r>
        <w:rPr>
          <w:i/>
          <w:iCs/>
          <w:sz w:val="20"/>
          <w:szCs w:val="20"/>
        </w:rPr>
        <w:t>zero-result</w:t>
      </w:r>
      <w:r>
        <w:rPr>
          <w:sz w:val="20"/>
          <w:szCs w:val="20"/>
        </w:rPr>
        <w:t xml:space="preserve"> events the action is performed but the target result is not attained.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62E6" w14:textId="77777777" w:rsidR="008215DC" w:rsidRDefault="00000000">
    <w:pPr>
      <w:jc w:val="right"/>
    </w:pPr>
    <w:r>
      <w:fldChar w:fldCharType="begin"/>
    </w:r>
    <w:r>
      <w:instrText>PAGE</w:instrText>
    </w:r>
    <w:r>
      <w:fldChar w:fldCharType="separate"/>
    </w:r>
    <w:r w:rsidR="005B1E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3E95"/>
    <w:multiLevelType w:val="hybridMultilevel"/>
    <w:tmpl w:val="40545928"/>
    <w:lvl w:ilvl="0" w:tplc="B2F2828E">
      <w:start w:val="1"/>
      <w:numFmt w:val="bullet"/>
      <w:lvlText w:val="●"/>
      <w:lvlJc w:val="left"/>
      <w:pPr>
        <w:ind w:left="720" w:hanging="360"/>
      </w:pPr>
    </w:lvl>
    <w:lvl w:ilvl="1" w:tplc="EB4E968C">
      <w:start w:val="1"/>
      <w:numFmt w:val="bullet"/>
      <w:lvlText w:val="○"/>
      <w:lvlJc w:val="left"/>
      <w:pPr>
        <w:ind w:left="1440" w:hanging="360"/>
      </w:pPr>
    </w:lvl>
    <w:lvl w:ilvl="2" w:tplc="06322E6A">
      <w:start w:val="1"/>
      <w:numFmt w:val="bullet"/>
      <w:lvlText w:val="■"/>
      <w:lvlJc w:val="left"/>
      <w:pPr>
        <w:ind w:left="2160" w:hanging="360"/>
      </w:pPr>
    </w:lvl>
    <w:lvl w:ilvl="3" w:tplc="166CA43C">
      <w:start w:val="1"/>
      <w:numFmt w:val="bullet"/>
      <w:lvlText w:val="●"/>
      <w:lvlJc w:val="left"/>
      <w:pPr>
        <w:ind w:left="2880" w:hanging="360"/>
      </w:pPr>
    </w:lvl>
    <w:lvl w:ilvl="4" w:tplc="1FA67018">
      <w:start w:val="1"/>
      <w:numFmt w:val="bullet"/>
      <w:lvlText w:val="○"/>
      <w:lvlJc w:val="left"/>
      <w:pPr>
        <w:ind w:left="3600" w:hanging="360"/>
      </w:pPr>
    </w:lvl>
    <w:lvl w:ilvl="5" w:tplc="BFE07F8C">
      <w:start w:val="1"/>
      <w:numFmt w:val="bullet"/>
      <w:lvlText w:val="■"/>
      <w:lvlJc w:val="left"/>
      <w:pPr>
        <w:ind w:left="4320" w:hanging="360"/>
      </w:pPr>
    </w:lvl>
    <w:lvl w:ilvl="6" w:tplc="B0DEC3B8">
      <w:start w:val="1"/>
      <w:numFmt w:val="bullet"/>
      <w:lvlText w:val="●"/>
      <w:lvlJc w:val="left"/>
      <w:pPr>
        <w:ind w:left="5040" w:hanging="360"/>
      </w:pPr>
    </w:lvl>
    <w:lvl w:ilvl="7" w:tplc="225EE32C">
      <w:start w:val="1"/>
      <w:numFmt w:val="bullet"/>
      <w:lvlText w:val="●"/>
      <w:lvlJc w:val="left"/>
      <w:pPr>
        <w:ind w:left="5760" w:hanging="360"/>
      </w:pPr>
    </w:lvl>
    <w:lvl w:ilvl="8" w:tplc="D31ED738">
      <w:start w:val="1"/>
      <w:numFmt w:val="bullet"/>
      <w:lvlText w:val="●"/>
      <w:lvlJc w:val="left"/>
      <w:pPr>
        <w:ind w:left="6480" w:hanging="360"/>
      </w:pPr>
    </w:lvl>
  </w:abstractNum>
  <w:num w:numId="1" w16cid:durableId="874273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DC"/>
    <w:rsid w:val="00055864"/>
    <w:rsid w:val="0018398A"/>
    <w:rsid w:val="00197B71"/>
    <w:rsid w:val="002014B3"/>
    <w:rsid w:val="003A3050"/>
    <w:rsid w:val="003B797C"/>
    <w:rsid w:val="00447DD2"/>
    <w:rsid w:val="00477123"/>
    <w:rsid w:val="004B1F49"/>
    <w:rsid w:val="004C3895"/>
    <w:rsid w:val="0054146F"/>
    <w:rsid w:val="0055050F"/>
    <w:rsid w:val="0055310B"/>
    <w:rsid w:val="005B1EF1"/>
    <w:rsid w:val="005B6138"/>
    <w:rsid w:val="005E64BA"/>
    <w:rsid w:val="005F1988"/>
    <w:rsid w:val="00621C6F"/>
    <w:rsid w:val="006B7B7E"/>
    <w:rsid w:val="00706240"/>
    <w:rsid w:val="00782C6A"/>
    <w:rsid w:val="008215DC"/>
    <w:rsid w:val="0086069B"/>
    <w:rsid w:val="009B1284"/>
    <w:rsid w:val="009D4CF3"/>
    <w:rsid w:val="009F5C76"/>
    <w:rsid w:val="00B0633F"/>
    <w:rsid w:val="00B64FC7"/>
    <w:rsid w:val="00B73982"/>
    <w:rsid w:val="00C3541B"/>
    <w:rsid w:val="00C37B3C"/>
    <w:rsid w:val="00C77721"/>
    <w:rsid w:val="00D331C0"/>
    <w:rsid w:val="00D95BC4"/>
    <w:rsid w:val="00DF4AE6"/>
    <w:rsid w:val="00E31FDC"/>
    <w:rsid w:val="00EA6370"/>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88F"/>
  <w15:docId w15:val="{11E77BF7-A15E-42B5-A01A-4ECCE1CC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NZ"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eastAsia="Times New Roman"/>
      <w:color w:val="000000"/>
    </w:rPr>
  </w:style>
  <w:style w:type="paragraph" w:styleId="Heading1">
    <w:name w:val="heading 1"/>
    <w:basedOn w:val="Normal"/>
    <w:next w:val="Normal"/>
    <w:uiPriority w:val="9"/>
    <w:qFormat/>
    <w:pPr>
      <w:keepNext/>
      <w:ind w:firstLine="0"/>
      <w:jc w:val="center"/>
      <w:outlineLvl w:val="0"/>
    </w:pPr>
    <w:rPr>
      <w:b/>
      <w:szCs w:val="32"/>
    </w:rPr>
  </w:style>
  <w:style w:type="paragraph" w:styleId="Heading2">
    <w:name w:val="heading 2"/>
    <w:basedOn w:val="Normal"/>
    <w:next w:val="Normal"/>
    <w:uiPriority w:val="9"/>
    <w:semiHidden/>
    <w:unhideWhenUsed/>
    <w:qFormat/>
    <w:pPr>
      <w:keepNext/>
      <w:ind w:firstLine="0"/>
      <w:outlineLvl w:val="1"/>
    </w:pPr>
    <w:rPr>
      <w:b/>
      <w:szCs w:val="26"/>
    </w:rPr>
  </w:style>
  <w:style w:type="paragraph" w:styleId="Heading3">
    <w:name w:val="heading 3"/>
    <w:basedOn w:val="Normal"/>
    <w:next w:val="Normal"/>
    <w:uiPriority w:val="9"/>
    <w:semiHidden/>
    <w:unhideWhenUsed/>
    <w:qFormat/>
    <w:pPr>
      <w:keepNext/>
      <w:ind w:firstLine="0"/>
      <w:outlineLvl w:val="2"/>
    </w:pPr>
    <w:rPr>
      <w:b/>
      <w:i/>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rPr>
      <w:b/>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xample">
    <w:name w:val="Example"/>
    <w:basedOn w:val="Normal"/>
    <w:pPr>
      <w:keepNext/>
      <w:tabs>
        <w:tab w:val="left" w:pos="720"/>
        <w:tab w:val="left" w:pos="1260"/>
      </w:tabs>
      <w:spacing w:line="240" w:lineRule="auto"/>
      <w:ind w:firstLine="0"/>
    </w:pPr>
  </w:style>
  <w:style w:type="paragraph" w:customStyle="1" w:styleId="ExampleLast">
    <w:name w:val="Example Last"/>
    <w:basedOn w:val="Example"/>
    <w:pPr>
      <w:keepNext w:val="0"/>
      <w:spacing w:after="240"/>
    </w:pPr>
  </w:style>
  <w:style w:type="paragraph" w:customStyle="1" w:styleId="ExampleFirst">
    <w:name w:val="Example First"/>
    <w:basedOn w:val="Example"/>
    <w:pPr>
      <w:spacing w:before="240"/>
    </w:pPr>
  </w:style>
  <w:style w:type="paragraph" w:customStyle="1" w:styleId="ResearchQuestion">
    <w:name w:val="Research Question"/>
    <w:basedOn w:val="Normal"/>
    <w:pPr>
      <w:ind w:left="720" w:firstLine="0"/>
    </w:pPr>
  </w:style>
  <w:style w:type="paragraph" w:customStyle="1" w:styleId="Reference">
    <w:name w:val="Reference"/>
    <w:basedOn w:val="Normal"/>
    <w:pPr>
      <w:ind w:left="720" w:hanging="720"/>
    </w:pPr>
  </w:style>
  <w:style w:type="paragraph" w:customStyle="1" w:styleId="TableNumber">
    <w:name w:val="Table Number"/>
    <w:basedOn w:val="Normal"/>
    <w:pPr>
      <w:keepNext/>
      <w:spacing w:before="240"/>
      <w:ind w:firstLine="0"/>
    </w:pPr>
    <w:rPr>
      <w:b/>
    </w:rPr>
  </w:style>
  <w:style w:type="paragraph" w:customStyle="1" w:styleId="TableTitle">
    <w:name w:val="Table Title"/>
    <w:basedOn w:val="Normal"/>
    <w:pPr>
      <w:keepNext/>
      <w:ind w:firstLine="0"/>
    </w:pPr>
    <w:rPr>
      <w:i/>
    </w:rPr>
  </w:style>
  <w:style w:type="paragraph" w:customStyle="1" w:styleId="TableText">
    <w:name w:val="Table Text"/>
    <w:basedOn w:val="Normal"/>
    <w:pPr>
      <w:spacing w:line="240" w:lineRule="auto"/>
      <w:ind w:firstLine="0"/>
    </w:pPr>
    <w:rPr>
      <w:sz w:val="20"/>
    </w:rPr>
  </w:style>
  <w:style w:type="paragraph" w:customStyle="1" w:styleId="TableNote">
    <w:name w:val="Table Note"/>
    <w:basedOn w:val="Normal"/>
    <w:pPr>
      <w:spacing w:before="120" w:after="240" w:line="240" w:lineRule="auto"/>
      <w:ind w:firstLine="0"/>
    </w:pPr>
    <w:rPr>
      <w:sz w:val="20"/>
    </w:rPr>
  </w:style>
  <w:style w:type="paragraph" w:customStyle="1" w:styleId="FootnoteText1">
    <w:name w:val="Footnote Text1"/>
    <w:rPr>
      <w:rFonts w:eastAsia="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FCED-07B2-47CF-BA19-4EE58DDF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34</Pages>
  <Words>9489</Words>
  <Characters>54093</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Xiaotao Liu</cp:lastModifiedBy>
  <cp:revision>5</cp:revision>
  <dcterms:created xsi:type="dcterms:W3CDTF">2026-10-14T04:12:00Z</dcterms:created>
  <dcterms:modified xsi:type="dcterms:W3CDTF">2026-10-15T06:16:00Z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21c2175717a9641ba79006e3f9f5582619493616767e9ba2f6b6d12ac52b7504</vt:lpwstr>
  </property>
</Properties>
</file>