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t>kū-shī</w:t>
      </w:r>
      <w:proofErr w:type="spellEnd"/>
      <w:r w:rsidRPr="00197B71">
        <w:t xml:space="preserve"> </w:t>
      </w:r>
      <w:proofErr w:type="spellStart"/>
      <w:r w:rsidRPr="00197B71">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t>tī</w:t>
      </w:r>
      <w:proofErr w:type="spellEnd"/>
      <w:r w:rsidRPr="00EA6370">
        <w:t xml:space="preserve"> “kick” forms both </w:t>
      </w:r>
      <w:proofErr w:type="spellStart"/>
      <w:r w:rsidRPr="00EA6370">
        <w:t>tī-dǎo</w:t>
      </w:r>
      <w:proofErr w:type="spellEnd"/>
      <w:r w:rsidRPr="00EA6370">
        <w:t xml:space="preserve"> “kick-fallen” and </w:t>
      </w:r>
      <w:proofErr w:type="spellStart"/>
      <w:r w:rsidRPr="00EA6370">
        <w:t>tī-kāi</w:t>
      </w:r>
      <w:proofErr w:type="spellEnd"/>
      <w:r w:rsidRPr="00EA6370">
        <w:t xml:space="preserve"> “kick-open,” and </w:t>
      </w:r>
      <w:proofErr w:type="spellStart"/>
      <w:r w:rsidRPr="00EA6370">
        <w:t>miè</w:t>
      </w:r>
      <w:proofErr w:type="spellEnd"/>
      <w:r w:rsidRPr="00EA6370">
        <w:t xml:space="preserve"> “extinguished” follows both </w:t>
      </w:r>
      <w:proofErr w:type="spellStart"/>
      <w:r w:rsidRPr="00EA6370">
        <w:t>chuī</w:t>
      </w:r>
      <w:proofErr w:type="spellEnd"/>
      <w:r w:rsidRPr="00EA6370">
        <w:t xml:space="preserve"> “blow” and </w:t>
      </w:r>
      <w:proofErr w:type="spellStart"/>
      <w:r w:rsidRPr="00EA6370">
        <w:t>pū</w:t>
      </w:r>
      <w:proofErr w:type="spellEnd"/>
      <w:r w:rsidRPr="00EA6370">
        <w:t xml:space="preserve"> “beat.” These combinations are not equally conventional, however, and existing accounts do not specify what makes the action named by a given V1 a </w:t>
      </w:r>
      <w:proofErr w:type="gramStart"/>
      <w:r w:rsidRPr="00EA6370">
        <w:t>more or less natural</w:t>
      </w:r>
      <w:proofErr w:type="gramEnd"/>
      <w:r w:rsidRPr="00EA6370">
        <w:t xml:space="preserve">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1991, 2000), and as causative verbs that nevertheless allow zero-change construals (Martin et al., 2020, 2026).</w:t>
      </w:r>
      <w:proofErr w:type="spellStart"/>
      <w:r/>
      <w:proofErr w:type="spellEnd"/>
      <w:r>
        <w:t xml:space="preserve">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w:t>
      </w:r>
      <w:r>
        <w:t xml:space="preserv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xml:space="preserve">, how typical the action is as a means of achieving that result. The two ratings approach the relation from the action and from the result, respectively: Blowing on a candle, for example, is both likely to put it </w:t>
      </w:r>
      <w:r>
        <w:lastRenderedPageBreak/>
        <w:t>out and a typical way of doing so, whereas waving at it is neither.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t>hǎojǐcì</w:t>
      </w:r>
      <w:proofErr w:type="spellEnd"/>
      <w:r w:rsidRPr="00DF4AE6">
        <w:t xml:space="preserve"> “several times” increased acceptance in all </w:t>
      </w:r>
      <w:r w:rsidRPr="00DF4AE6">
        <w:lastRenderedPageBreak/>
        <w:t xml:space="preserve">age groups. Children’s rejections also varied across verbs. In Chen’s (2017) study, </w:t>
      </w:r>
      <w:proofErr w:type="spellStart"/>
      <w:r w:rsidRPr="00DF4AE6">
        <w:t>guān</w:t>
      </w:r>
      <w:proofErr w:type="spellEnd"/>
      <w:r w:rsidRPr="00DF4AE6">
        <w:t xml:space="preserve"> “close” and </w:t>
      </w:r>
      <w:proofErr w:type="spellStart"/>
      <w:r w:rsidRPr="00DF4AE6">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lastRenderedPageBreak/>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t>méi</w:t>
      </w:r>
      <w:proofErr w:type="spellEnd"/>
      <w:r w:rsidRPr="005E64BA">
        <w:t xml:space="preserve"> </w:t>
      </w:r>
      <w:proofErr w:type="spellStart"/>
      <w:r w:rsidRPr="005E64BA">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lastRenderedPageBreak/>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 two sets, particularly in zero-result events, and is this difference larger in children than in adults?</w:t>
      </w:r>
    </w:p>
    <w:p w14:paraId="455138B3" w14:textId="77777777" w:rsidR="0055310B" w:rsidRPr="0055310B" w:rsidRDefault="00000000" w:rsidP="0055310B">
      <w:r>
        <w:lastRenderedPageBreak/>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57F90C35" w14:textId="77777777" w:rsidR="00C3541B" w:rsidRPr="00C3541B" w:rsidRDefault="00C3541B" w:rsidP="00C3541B">
      <w:r w:rsidRPr="00C3541B">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lastRenderedPageBreak/>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w:t>
      </w:r>
      <w:r>
        <w:lastRenderedPageBreak/>
        <w:t xml:space="preserve">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form two sets of 10: the expected stronger-association expressions and their expected weaker-association partners.</w:t>
      </w:r>
      <w:r w:rsidR="006B7B7E" w:rsidRPr="006B7B7E"/>
      <w:r w:rsidR="006B7B7E">
        <w:rPr>
          <w:rFonts w:eastAsiaTheme="minorEastAsia" w:hint="eastAsia"/>
        </w:rPr>
      </w:r>
      <w:r/>
      <w:r w:rsidR="006B7B7E">
        <w:rPr>
          <w:rFonts w:eastAsiaTheme="minorEastAsia" w:hint="eastAsia"/>
        </w:rPr>
      </w:r>
      <w:r/>
    </w:p>
    <w:p w14:paraId="2976E87D" w14:textId="08DDC6C5" w:rsidR="009D4CF3" w:rsidRDefault="00000000">
      <w:r>
        <w:t xml:space="preserve">When the materials were designed, the two sets were defined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V1s in the weaker set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stronger set combined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hint="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pò</w:t>
            </w:r>
            <w:r>
              <w:br/>
              <w:t>“torn”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sī-pò</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2,350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zhuài</w:t>
            </w:r>
            <w:r>
              <w:br/>
              <w:t>“pull”</w:t>
            </w:r>
          </w:p>
        </w:tc>
        <w:tc>
          <w:tcPr>
            <w:tcW w:w="1368" w:type="dxa"/>
          </w:tcPr>
          <w:p w14:paraId="06139747" w14:textId="77777777" w:rsidR="009D4CF3" w:rsidRDefault="00000000">
            <w:pPr>
              <w:pStyle w:val="TableText"/>
              <w:keepNext/>
            </w:pPr>
            <w:r>
              <w:rPr>
                <w:i/>
              </w:rPr>
              <w:t>zhuài-pò</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2</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lastRenderedPageBreak/>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suì</w:t>
            </w:r>
            <w:r>
              <w:br/>
              <w:t>“broken”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jiā-suì</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48</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chuí-suì</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13</w:t>
            </w:r>
          </w:p>
        </w:tc>
      </w:tr>
    </w:tbl>
    <w:p w14:paraId="461146B5" w14:textId="764D5272" w:rsidR="009D4CF3" w:rsidRPr="0055050F" w:rsidRDefault="00000000">
      <w:pPr>
        <w:pStyle w:val="TableNote"/>
        <w:rPr>
          <w:rFonts w:eastAsiaTheme="minorEastAsia" w:hint="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set labels follow the original design. ᵇ Mostly figurative uses. ᶜ Includes many abstract uses.</w:t>
      </w:r>
    </w:p>
    <w:p w14:paraId="1FD25982" w14:textId="3047BDFB" w:rsidR="009D4CF3" w:rsidRPr="0055050F" w:rsidRDefault="00000000">
      <w:pPr>
        <w:rPr>
          <w:rFonts w:eastAsiaTheme="minorEastAsia" w:hint="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 xml:space="preserve">⟦Figure 1：full-result 与 zero-result </w:t>
      </w:r>
      <w:proofErr w:type="spellStart"/>
      <w:r>
        <w:rPr>
          <w:highlight w:val="yellow"/>
        </w:rPr>
        <w:t>视频的截图</w:t>
      </w:r>
      <w:proofErr w:type="spellEnd"/>
      <w:r>
        <w:rPr>
          <w:highlight w:val="yellow"/>
        </w:rPr>
        <w:t>⟧</w:t>
      </w:r>
    </w:p>
    <w:p w14:paraId="63C09C34" w14:textId="77777777" w:rsidR="009D4CF3" w:rsidRDefault="00000000">
      <w:pPr>
        <w:pStyle w:val="Heading2"/>
      </w:pPr>
      <w:r>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the 10 videos of one set and described each in a full sentence. If the intended V1 did not appear, the participant was asked for </w:t>
      </w:r>
      <w:r>
        <w:lastRenderedPageBreak/>
        <w:t xml:space="preserve">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hint="eastAsia"/>
        </w:rPr>
      </w:pPr>
      <w:r>
        <w:t xml:space="preserve">Twenty native speakers of Mandarin (21–35 years, </w:t>
      </w:r>
      <w:r>
        <w:rPr>
          <w:i/>
        </w:rPr>
        <w:t>M</w:t>
      </w:r>
      <w:r>
        <w:t xml:space="preserve"> = 28.2) </w:t>
      </w:r>
      <w:r>
        <w:rPr>
          <w:highlight w:val="yellow"/>
        </w:rPr>
        <w:t>⟦性别与招募方式待补⟧</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63AAE06B" w14:textId="2B606D43" w:rsidR="009D4CF3" w:rsidRPr="00C77721" w:rsidRDefault="00000000">
      <w:pPr>
        <w:rPr>
          <w:rFonts w:eastAsiaTheme="minorEastAsia" w:hint="eastAsia"/>
        </w:rPr>
      </w:pPr>
      <w:r>
        <w:t>Four lists were constructed, and five raters completed each list. In all lists, the 20 likelihood items preceded the 20 typicality items. Within each block, the 10 expressions of one set were presented first and the 10 expressions of the other set second, with the pairs in the same order in both halves, so that the two members of each pair were always separated by nine other items. The stronger-association set came first in Lists 1 and 3, and the weaker-association set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w:t>
      </w:r>
      <w:r>
        <w:lastRenderedPageBreak/>
        <w:t xml:space="preserve">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assigned to the two sets. The two pairs remained in the experimental lists, so all participants saw all 10 pairs, but their trials are excluded from the analyses of Experiment 1. The original design included all 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w:t>
      </w:r>
      <w:r>
        <w:lastRenderedPageBreak/>
        <w:t>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for two reasons. First, as noted in the Introduction, V1–V2 combinations differ in how conventional they are, and an action that reliably brings about a result is likely to be described often with the corresponding RVC; corpus frequency thus characterizes the pairs independently of the adult ratings. Second, children may be more familiar with the RVCs formed with stronger-association V1s, and familiarity with an RVC could itself affect how they interpret the corresponding V1 (see General Discussion).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lastRenderedPageBreak/>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w:t>
      </w:r>
      <w:r>
        <w:lastRenderedPageBreak/>
        <w:t>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77777777" w:rsidR="009D4CF3" w:rsidRDefault="00000000">
      <w:r>
        <w:t>Form (RVC vs. V1) and set (stronger vs. weaker association) were manipulated between participants, and result realization (full vs. zero) within participants. Eight lists crossed four event lists with the two forms. Each event list contained one action from each of the 10 pairs, all from the same set, with five videos in their full-result and five in their zero-result version; across the two event lists for each set,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each set were judged by eight children per age group and 10 adults, and each V1 description in a given result condition by about four children per age group. Comparisons between the two sets are therefore largely between participants, and item-level estimates are imprecise.</w:t>
      </w:r>
    </w:p>
    <w:p w14:paraId="56804D9F" w14:textId="77777777" w:rsidR="009D4CF3" w:rsidRDefault="00000000">
      <w:pPr>
        <w:pStyle w:val="Heading3"/>
      </w:pPr>
      <w:r>
        <w:lastRenderedPageBreak/>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77777777" w:rsidR="009D4CF3" w:rsidRDefault="00000000">
      <w:pPr>
        <w:pStyle w:val="Heading3"/>
      </w:pPr>
      <w:r>
        <w:t>RVC and V1 Descriptions</w:t>
      </w:r>
    </w:p>
    <w:p w14:paraId="30F5A172" w14:textId="77777777" w:rsidR="009D4CF3" w:rsidRDefault="00000000">
      <w:r>
        <w:t xml:space="preserve">The first model addresses RQ1. It includes form (RVC vs. V1), result realization (full vs. zero), age group (4-year-olds, 5-year-olds, adults), and their interactions; V1 trials from the two sets are pooled. Random effects are intercepts for participants, items (a V1–object expression </w:t>
      </w:r>
      <w:r>
        <w:lastRenderedPageBreak/>
        <w:t>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set (stronger vs. weaker association), result realization, age group, and their interactions. Random effects are intercepts for participants, items, and pairs; a by-participant slope for result realization; by-item slopes for result realization and age group; and a by-pair slope for set, which allows the difference between the two V1s of a pair to vary across pairs. The focal estimates are (a) the difference between sets in zero-result events in each age group; (b) the Set × Result Realization interaction, which assesses whether this difference is larger in zero-result than in full-result events; and (c) the difference between children and adults in the zero-result difference between sets. Because adult acceptance in zero-result events may approach ceiling, the child–adult comparison is evaluated on the log-odds scale, and predicted probabilities are reported alongside.</w:t>
      </w:r>
    </w:p>
    <w:p w14:paraId="2F78B3F5" w14:textId="77777777" w:rsidR="009D4CF3" w:rsidRDefault="00000000">
      <w:pPr>
        <w:pStyle w:val="Heading3"/>
      </w:pPr>
      <w:r>
        <w:t>Sensitivity Analyses</w:t>
      </w:r>
    </w:p>
    <w:p w14:paraId="449C9658" w14:textId="77777777" w:rsidR="009D4CF3" w:rsidRDefault="00000000">
      <w:r>
        <w:t xml:space="preserve">Three analyses assess whether the conclusions depend on the materials: (a) refitting both models with all 10 pairs, with the actions of Pairs 7 and 8 assigned to sets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w:t>
      </w:r>
      <w:r>
        <w:lastRenderedPageBreak/>
        <w:t>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a difference between sets is carried by most pairs or by a few.</w:t>
      </w:r>
    </w:p>
    <w:p w14:paraId="46408DBA" w14:textId="77777777" w:rsidR="009D4CF3" w:rsidRDefault="00000000">
      <w:pPr>
        <w:pStyle w:val="Heading2"/>
      </w:pPr>
      <w:r>
        <w:t>Results</w:t>
      </w:r>
    </w:p>
    <w:p w14:paraId="3589F7A8" w14:textId="77777777" w:rsidR="009D4CF3" w:rsidRDefault="00000000">
      <w:r>
        <w:t>Accuracy on filler trials was 100% for adults, 97% for 4-year-olds, and 95% for 5-year-olds, and no participant was excluded. The data comprise 1,040 critical responses, of which 832 belong to the eight retained pairs (416 RVC and 416 V1 trials).</w:t>
      </w:r>
    </w:p>
    <w:p w14:paraId="08EEAEC4" w14:textId="77777777" w:rsidR="009D4CF3" w:rsidRDefault="00000000">
      <w:r>
        <w:rPr>
          <w:highlight w:val="yellow"/>
        </w:rPr>
        <w:t>⟦待补：按八对、两组方案重新分析后报告。0507 稿的结果基于全部 10 对和 Strong/Weak 编码，不能直接沿用。⟧</w:t>
      </w:r>
    </w:p>
    <w:p w14:paraId="47B35AA9" w14:textId="77777777" w:rsidR="009D4CF3" w:rsidRDefault="00000000">
      <w:pPr>
        <w:pStyle w:val="Heading1"/>
      </w:pPr>
      <w:r>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the 10 actions of one set,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t>
      </w:r>
      <w:r>
        <w:lastRenderedPageBreak/>
        <w:t xml:space="preserve">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77777777" w:rsidR="009D4CF3" w:rsidRDefault="00000000">
      <w:r>
        <w:t xml:space="preserve">All 10 pairs are included in the analyses of Experiment 2, because these analyses compare result conditions and do not require the actions to be assigned to sets. Analyses restricted to the eight retained pairs are reported as a sensitivity check. </w:t>
      </w:r>
      <w:r>
        <w:rPr>
          <w:highlight w:val="yellow"/>
        </w:rPr>
        <w:t>⟦请确认 Exp 2 用全部 10 对⟧</w:t>
      </w:r>
    </w:p>
    <w:p w14:paraId="771AA536" w14:textId="77777777" w:rsidR="009D4CF3" w:rsidRDefault="00000000">
      <w:pPr>
        <w:pStyle w:val="Heading3"/>
      </w:pPr>
      <w:r>
        <w:t>Coding</w:t>
      </w:r>
    </w:p>
    <w:p w14:paraId="54410E70" w14:textId="77777777" w:rsidR="009D4CF3" w:rsidRDefault="00000000">
      <w:r>
        <w:t xml:space="preserve">The coding unit is the complete response to a video, including information expressed across clauses. Responses were recoded from the transcripts for the present analyses. </w:t>
      </w:r>
      <w:r>
        <w:rPr>
          <w:highlight w:val="yellow"/>
        </w:rPr>
        <w:t>⟦第二名编码员及一致性待补⟧</w:t>
      </w:r>
      <w:r>
        <w:t xml:space="preserve"> Nonresponses and responses without a verb are excluded and reported.</w:t>
      </w:r>
    </w:p>
    <w:p w14:paraId="5ED3C869" w14:textId="77777777" w:rsidR="009D4CF3" w:rsidRDefault="00000000">
      <w:r>
        <w:rPr>
          <w:b/>
        </w:rPr>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77777777"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w:t>
      </w:r>
      <w:r>
        <w:lastRenderedPageBreak/>
        <w:t xml:space="preserve">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⟦注意：0507 稿把 bǎ 句中的谓语一律编为 RVC，这里改了⟧</w:t>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 xml:space="preserve">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14:paraId="3898C00B" w14:textId="77777777" w:rsidR="009D4CF3" w:rsidRDefault="00000000">
      <w:pPr>
        <w:pStyle w:val="Heading2"/>
      </w:pPr>
      <w:r>
        <w:lastRenderedPageBreak/>
        <w:t>Results</w:t>
      </w:r>
    </w:p>
    <w:p w14:paraId="570C2E60" w14:textId="77777777" w:rsidR="009D4CF3" w:rsidRDefault="00000000">
      <w:r>
        <w:rPr>
          <w:highlight w:val="yellow"/>
        </w:rPr>
        <w:t>⟦待补：按新的编码方案（完整回答为单位）重新编码并分析后报告。⟧</w:t>
      </w:r>
    </w:p>
    <w:p w14:paraId="095C048D" w14:textId="77777777" w:rsidR="009D4CF3" w:rsidRDefault="00000000">
      <w:pPr>
        <w:pStyle w:val="Heading1"/>
      </w:pPr>
      <w:r>
        <w:t>General Discussion</w:t>
      </w:r>
    </w:p>
    <w:p w14:paraId="2A274960" w14:textId="77777777" w:rsidR="009D4CF3" w:rsidRDefault="00000000">
      <w:r>
        <w:rPr>
          <w:highlight w:val="yellow"/>
        </w:rPr>
        <w:t>⟦本节为计划稿，将根据结果修改。⟧</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0C5F8170" w14:textId="77777777" w:rsidR="009D4CF3" w:rsidRDefault="00000000">
      <w:pPr>
        <w:pStyle w:val="Heading2"/>
      </w:pPr>
      <w:r>
        <w:t>RVC and V1 Descriptions</w:t>
      </w:r>
    </w:p>
    <w:p w14:paraId="46F550EC" w14:textId="77777777" w:rsidR="009D4CF3" w:rsidRDefault="00000000">
      <w:r>
        <w:t>A larger effect of result realization on RVC than on V1 descriptions would show that children treat a result expressed by V2 differently from a result that is only associated with the 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14:paraId="4C2E4028" w14:textId="77777777" w:rsidR="009D4CF3" w:rsidRDefault="00000000">
      <w:pPr>
        <w:pStyle w:val="Heading2"/>
      </w:pPr>
      <w:r>
        <w:lastRenderedPageBreak/>
        <w:t>Action–Result Association and V1 Descriptions</w:t>
      </w:r>
    </w:p>
    <w:p w14:paraId="256010E1" w14:textId="77777777" w:rsidR="009D4CF3" w:rsidRDefault="00000000">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 difference between sets cannot be attributed to differences between objects or results. It would show that, for children, what a V1 description conveys about a result depends on how the named action relates to that result. A difference between sets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14:paraId="7174531D" w14:textId="77777777" w:rsidR="009D4CF3" w:rsidRDefault="00000000">
      <w:r>
        <w:t xml:space="preserve">Why action–result association might matter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w:t>
      </w:r>
      <w:r>
        <w:lastRenderedPageBreak/>
        <w:t>2021), a failed attempt at a typical means may make a V1 description less acceptable. The two dimensions usually go together but need not coincide (Kim &amp; Murphy, 2011). These possibilities are offered as interpretations of a difference between sets, not as hypotheses the study was designed to test.</w:t>
      </w:r>
    </w:p>
    <w:p w14:paraId="16A57566" w14:textId="77777777" w:rsidR="009D4CF3" w:rsidRDefault="00000000">
      <w:r>
        <w:t>A larger difference between sets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14:paraId="64959941" w14:textId="77777777" w:rsidR="009D4CF3" w:rsidRDefault="00000000">
      <w:r>
        <w:t xml:space="preserve">Because the stronger- and weaker-association expressions differ in both rated likelihood and rated typicality, the study cannot determine which dimension, or what the two share, underlies a difference between sets; the two ratings diverged only in Pair 7, which was excluded. The difference between sets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 difference between sets. This account is not incompatible with the association account, because an action that reliably brings about a result is also likely to be described often with the corresponding RVC, but the present materials cannot separate the two.</w:t>
      </w:r>
    </w:p>
    <w:p w14:paraId="5A252C3A" w14:textId="77777777" w:rsidR="009D4CF3" w:rsidRDefault="00000000">
      <w:pPr>
        <w:pStyle w:val="Heading2"/>
      </w:pPr>
      <w:r>
        <w:lastRenderedPageBreak/>
        <w:t>Form and Information in Production</w:t>
      </w:r>
    </w:p>
    <w:p w14:paraId="5F1E9033" w14:textId="77777777" w:rsidR="009D4CF3" w:rsidRDefault="00000000">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14:paraId="328EDA48" w14:textId="77777777" w:rsidR="009D4CF3" w:rsidRDefault="00000000">
      <w:pPr>
        <w:pStyle w:val="Heading2"/>
      </w:pPr>
      <w:r>
        <w:t>Limitations and Future Directions</w:t>
      </w:r>
    </w:p>
    <w:p w14:paraId="2D58C942" w14:textId="77777777" w:rsidR="009D4CF3" w:rsidRDefault="00000000">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t>
      </w:r>
      <w:r>
        <w:lastRenderedPageBreak/>
        <w:t>sets assigned between participants, each difference between sets rests on few items and small groups, and item-level estimates are descriptive; in addition, the ratings were collected and two pairs excluded after an initial analysis of the same children’s data, so the eight-pair results should be read together with the 10-pair analyses, and a difference between sets needs to be replicated with a new sample of children. Fifth, the ratings describe expressions rather than videos, and the videos did not always elicit the intended V1.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77777777" w:rsidR="009D4CF3" w:rsidRDefault="00000000">
      <w:r>
        <w:t xml:space="preserve">This study examines how Mandarin-speaking 4- and 5-year-olds interpret and describe events in which an action does or does not bring about a target result. Comparing RVC and V1 descriptions tests whether children distinguish a result expressed by V2 from one that is only associated with the action named by V1. Comparing V1s that name actions on the same object, but differ in how strongly those actions are associated with the same result, tests whether children’s interpretation of V1 descriptions varies with the relation between the action and the result rather than with the verb alone. Comparing RVC use with mention of the result in production asks whether children who use fewer RVCs also leave the result unexpressed. </w:t>
      </w:r>
      <w:r>
        <w:rPr>
          <w:highlight w:val="yellow"/>
        </w:rPr>
        <w:t>⟦结论待根据结果改写⟧</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 xml:space="preserve">(2), 191–222. https://doi.org/10.1017/cnj.2021.11 </w:t>
      </w:r>
      <w:r>
        <w:rPr>
          <w:highlight w:val="yellow"/>
        </w:rPr>
        <w:t>⟦</w:t>
      </w:r>
      <w:proofErr w:type="spellStart"/>
      <w:r>
        <w:rPr>
          <w:highlight w:val="yellow"/>
        </w:rPr>
        <w:t>待核：页码</w:t>
      </w:r>
      <w:proofErr w:type="spellEnd"/>
      <w:r>
        <w:rPr>
          <w:highlight w:val="yellow"/>
        </w:rPr>
        <w:t>⟧</w:t>
      </w:r>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 </w:t>
      </w:r>
      <w:r>
        <w:rPr>
          <w:highlight w:val="yellow"/>
        </w:rPr>
        <w:t>⟦</w:t>
      </w:r>
      <w:proofErr w:type="spellStart"/>
      <w:r>
        <w:rPr>
          <w:highlight w:val="yellow"/>
        </w:rPr>
        <w:t>待核：题名与链接</w:t>
      </w:r>
      <w:proofErr w:type="spellEnd"/>
      <w:r>
        <w:rPr>
          <w:highlight w:val="yellow"/>
        </w:rPr>
        <w:t>⟧</w:t>
      </w:r>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 H. (2020).</w:t>
      </w:r>
      <w:proofErr w:type="spellEnd"/>
      <w:r>
        <w:t xml:space="preserve">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xml:space="preserve">. Universität Tübingen. </w:t>
      </w:r>
      <w:r>
        <w:rPr>
          <w:highlight w:val="yellow"/>
        </w:rPr>
        <w:t>⟦</w:t>
      </w:r>
      <w:proofErr w:type="spellStart"/>
      <w:r>
        <w:rPr>
          <w:highlight w:val="yellow"/>
        </w:rPr>
        <w:t>待核：页码与链接</w:t>
      </w:r>
      <w:proofErr w:type="spellEnd"/>
      <w:r>
        <w:rPr>
          <w:highlight w:val="yellow"/>
        </w:rPr>
        <w:t>⟧</w:t>
      </w:r>
    </w:p>
    <w:p w14:paraId="7B440D0E"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[Manuscript]. ResearchGate. </w:t>
      </w:r>
      <w:r>
        <w:rPr>
          <w:highlight w:val="yellow"/>
        </w:rPr>
        <w:t>⟦待核：发表状态与链接⟧</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t xml:space="preserve">R Core Team. (2024). </w:t>
      </w:r>
      <w:r>
        <w:rPr>
          <w:i/>
        </w:rPr>
        <w:t>R: A language and environment for statistical computing</w:t>
      </w:r>
      <w:r>
        <w:t>. R Foundation for Statistical Computing. https://www.R-project.org/</w:t>
      </w:r>
    </w:p>
    <w:p w14:paraId="1EE64877" w14:textId="77777777" w:rsidR="008215DC" w:rsidRDefault="00000000">
      <w:pPr>
        <w:pStyle w:val="Reference"/>
      </w:pPr>
      <w:proofErr w:type="spellStart"/>
      <w:r>
        <w:lastRenderedPageBreak/>
        <w:t>Skordos</w:t>
      </w:r>
      <w:proofErr w:type="spellEnd"/>
      <w:r>
        <w:t xml:space="preserve">, D., &amp; </w:t>
      </w:r>
      <w:proofErr w:type="spellStart"/>
      <w:r>
        <w:t>Papafragou</w:t>
      </w:r>
      <w:proofErr w:type="spellEnd"/>
      <w:r>
        <w:t xml:space="preserve">, A. (2016). Children’s derivation of scalar implicatures: Alternatives and relevance. </w:t>
      </w:r>
      <w:r>
        <w:rPr>
          <w:i/>
          <w:iCs/>
        </w:rPr>
        <w:t>Cognition, 153</w:t>
      </w:r>
      <w:r>
        <w:t xml:space="preserve">, 6–18. https://doi.org/10.1016/j.cognition.2016.04.006 </w:t>
      </w:r>
      <w:r>
        <w:rPr>
          <w:highlight w:val="yellow"/>
        </w:rPr>
        <w:t>⟦</w:t>
      </w:r>
      <w:proofErr w:type="spellStart"/>
      <w:r>
        <w:rPr>
          <w:highlight w:val="yellow"/>
        </w:rPr>
        <w:t>待核：DOI</w:t>
      </w:r>
      <w:proofErr w:type="spellEnd"/>
      <w:r>
        <w:rPr>
          <w:highlight w:val="yellow"/>
        </w:rPr>
        <w:t>⟧</w:t>
      </w:r>
    </w:p>
    <w:p w14:paraId="0376CB4F" w14:textId="77777777" w:rsidR="009D4CF3" w:rsidRDefault="00000000">
      <w:pPr>
        <w:pStyle w:val="Reference"/>
      </w:pPr>
      <w:r>
        <w:t xml:space="preserve">Speer, R. (2022). </w:t>
      </w:r>
      <w:r>
        <w:rPr>
          <w:i/>
        </w:rPr>
        <w:t>wordfreq</w:t>
      </w:r>
      <w:r>
        <w:t xml:space="preserve"> (Version 3.0) [Computer software]. Zenodo. https://doi.org/10.5281/zenodo.7199437 </w:t>
      </w:r>
      <w:r>
        <w:rPr>
          <w:highlight w:val="yellow"/>
        </w:rPr>
        <w:t>⟦待核：所用版本为 3.1.1；DOI⟧</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 </w:t>
      </w:r>
      <w:r>
        <w:rPr>
          <w:highlight w:val="yellow"/>
        </w:rPr>
        <w:t>⟦</w:t>
      </w:r>
      <w:proofErr w:type="spellStart"/>
      <w:r>
        <w:rPr>
          <w:highlight w:val="yellow"/>
        </w:rPr>
        <w:t>待核：题名</w:t>
      </w:r>
      <w:proofErr w:type="spellEnd"/>
      <w:r>
        <w:rPr>
          <w:highlight w:val="yellow"/>
        </w:rPr>
        <w:t xml:space="preserve"> time/times⟧</w:t>
      </w:r>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 xml:space="preserve">(1), 71–86. </w:t>
      </w:r>
      <w:r>
        <w:rPr>
          <w:highlight w:val="yellow"/>
        </w:rPr>
        <w:t>⟦待核：作者、题名与卷期⟧</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AEBD" w14:textId="77777777" w:rsidR="00621C6F" w:rsidRDefault="00621C6F">
      <w:r>
        <w:separator/>
      </w:r>
    </w:p>
  </w:endnote>
  <w:endnote w:type="continuationSeparator" w:id="0">
    <w:p w14:paraId="358EE5DE" w14:textId="77777777" w:rsidR="00621C6F" w:rsidRDefault="00621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8E147" w14:textId="77777777" w:rsidR="00621C6F" w:rsidRDefault="00621C6F">
      <w:r>
        <w:separator/>
      </w:r>
    </w:p>
  </w:footnote>
  <w:footnote w:type="continuationSeparator" w:id="0">
    <w:p w14:paraId="270A258F" w14:textId="77777777" w:rsidR="00621C6F" w:rsidRDefault="00621C6F">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197B71"/>
    <w:rsid w:val="003B797C"/>
    <w:rsid w:val="00447DD2"/>
    <w:rsid w:val="00477123"/>
    <w:rsid w:val="004B1F49"/>
    <w:rsid w:val="0055050F"/>
    <w:rsid w:val="0055310B"/>
    <w:rsid w:val="005B1EF1"/>
    <w:rsid w:val="005E64BA"/>
    <w:rsid w:val="005F1988"/>
    <w:rsid w:val="00621C6F"/>
    <w:rsid w:val="006B7B7E"/>
    <w:rsid w:val="00706240"/>
    <w:rsid w:val="00782C6A"/>
    <w:rsid w:val="008215DC"/>
    <w:rsid w:val="0086069B"/>
    <w:rsid w:val="009B1284"/>
    <w:rsid w:val="009D4CF3"/>
    <w:rsid w:val="009F5C76"/>
    <w:rsid w:val="00B64FC7"/>
    <w:rsid w:val="00C3541B"/>
    <w:rsid w:val="00C37B3C"/>
    <w:rsid w:val="00C77721"/>
    <w:rsid w:val="00D331C0"/>
    <w:rsid w:val="00DF4AE6"/>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32</Pages>
  <Words>8762</Words>
  <Characters>49949</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3</cp:revision>
  <dcterms:created xsi:type="dcterms:W3CDTF">2026-10-14T04:12:00Z</dcterms:created>
  <dcterms:modified xsi:type="dcterms:W3CDTF">2026-10-15T03:34:00Z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