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does this difference differ between children and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in all age groups, with a smaller difference in full-result events, and children are expected to accept V1 descriptions of zero-result events less often than adults regardless of association (Chen, 2017; J. Liu et al., 2026). No directional prediction is made about whether the association effect differs between children and adults. An initial analysis of the child data with all 10 pairs and the original Strong/Weak coding showed effects of both association and age group on V1 acceptance in zero-result events but no interaction between them (see Pair Selection).</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pò</w:t>
            </w:r>
            <w:r>
              <w:br/>
              <w:t>“torn”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sī-pò</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2,350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zhuài</w:t>
            </w:r>
            <w:r>
              <w:br/>
              <w:t>“pull”</w:t>
            </w:r>
          </w:p>
        </w:tc>
        <w:tc>
          <w:tcPr>
            <w:tcW w:w="1368" w:type="dxa"/>
          </w:tcPr>
          <w:p w14:paraId="06139747" w14:textId="77777777" w:rsidR="009D4CF3" w:rsidRDefault="00000000">
            <w:pPr>
              <w:pStyle w:val="TableText"/>
              <w:keepNext/>
            </w:pPr>
            <w:r>
              <w:rPr>
                <w:i/>
              </w:rPr>
              <w:t>zhuài-pò</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2</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suì</w:t>
            </w:r>
            <w:r>
              <w:br/>
              <w:t>“broken”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jiā-suì</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48</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chuí-suì</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13</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ᶜ Includes many abstract uses.</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 </w:t>
      </w:r>
      <w:r>
        <w:rPr>
          <w:highlight w:val="yellow"/>
        </w:rPr>
        <w:t>[性别与招募方式待补]</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Action–Result Association × Age Group interaction in zero-result events, which assesses whether the association effect differs between children and adults. Because adult acceptance in zero-result events may approach ceiling, this interaction is reported both on the log-odds scale and as differences in predicted acceptance probability.</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t>Accuracy on filler trials was 100% for adults, 97% for 4-year-olds, and 95% for 5-year-olds, and no participant was excluded. The data comprise 1,040 critical responses, of which 832 belong to the eight retained pairs (416 RVC and 416 V1 trials).</w:t>
      </w:r>
    </w:p>
    <w:p w14:paraId="08EEAEC4" w14:textId="49A5E677" w:rsidR="009D4CF3" w:rsidRDefault="00000000">
      <w:r>
        <w:rPr>
          <w:highlight w:val="yellow"/>
        </w:rPr>
        <w:t>[</w:t>
      </w:r>
      <w:proofErr w:type="spellStart"/>
      <w:r>
        <w:rPr>
          <w:highlight w:val="yellow"/>
        </w:rPr>
        <w:t>待补：按八对、两组方案重新分析后报告</w:t>
      </w:r>
      <w:proofErr w:type="spellEnd"/>
      <w:r w:rsidR="00055864">
        <w:rPr>
          <w:rFonts w:ascii="SimSun" w:eastAsia="SimSun" w:hAnsi="SimSun" w:cs="SimSun" w:hint="eastAsia"/>
          <w:highlight w:val="yellow"/>
        </w:rPr>
        <w:t>。之前</w:t>
      </w:r>
      <w:r w:rsidR="00055864">
        <w:rPr>
          <w:rFonts w:eastAsiaTheme="minorEastAsia" w:hint="eastAsia"/>
          <w:highlight w:val="yellow"/>
        </w:rPr>
        <w:t>LA</w:t>
      </w:r>
      <w:r w:rsidR="00055864">
        <w:rPr>
          <w:rFonts w:ascii="SimSun" w:eastAsia="SimSun" w:hAnsi="SimSun" w:cs="SimSun" w:hint="eastAsia"/>
          <w:highlight w:val="yellow"/>
        </w:rPr>
        <w:t>稿件的</w:t>
      </w:r>
      <w:proofErr w:type="spellStart"/>
      <w:r>
        <w:rPr>
          <w:highlight w:val="yellow"/>
        </w:rPr>
        <w:t>结果基于全部</w:t>
      </w:r>
      <w:proofErr w:type="spellEnd"/>
      <w:r>
        <w:rPr>
          <w:highlight w:val="yellow"/>
        </w:rPr>
        <w:t xml:space="preserve"> 10 </w:t>
      </w:r>
      <w:proofErr w:type="spellStart"/>
      <w:r>
        <w:rPr>
          <w:highlight w:val="yellow"/>
        </w:rPr>
        <w:t>对和</w:t>
      </w:r>
      <w:proofErr w:type="spellEnd"/>
      <w:r>
        <w:rPr>
          <w:highlight w:val="yellow"/>
        </w:rPr>
        <w:t xml:space="preserve"> Strong/Weak 编码，不能直接沿用。]</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t>Nonresponses and responses without a verb are excluded and reported.</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w:t>
      </w:r>
      <w:r w:rsidR="00055864">
        <w:rPr>
          <w:rFonts w:eastAsiaTheme="minorEastAsia" w:hint="eastAsia"/>
          <w:highlight w:val="yellow"/>
        </w:rPr>
        <w:t>LA</w:t>
      </w:r>
      <w:r w:rsidR="00055864">
        <w:rPr>
          <w:rFonts w:ascii="SimSun" w:eastAsia="SimSun" w:hAnsi="SimSun" w:cs="SimSun" w:hint="eastAsia"/>
          <w:highlight w:val="yellow"/>
        </w:rPr>
        <w:t>稿件把字</w:t>
      </w:r>
      <w:proofErr w:type="spellStart"/>
      <w:r>
        <w:rPr>
          <w:highlight w:val="yellow"/>
        </w:rPr>
        <w:t>句中的谓语一律编为</w:t>
      </w:r>
      <w:proofErr w:type="spellEnd"/>
      <w:r>
        <w:rPr>
          <w:highlight w:val="yellow"/>
        </w:rPr>
        <w:t xml:space="preserve"> </w:t>
      </w:r>
      <w:proofErr w:type="spellStart"/>
      <w:r>
        <w:rPr>
          <w:highlight w:val="yellow"/>
        </w:rPr>
        <w:t>RVC，这里改了</w:t>
      </w:r>
      <w:proofErr w:type="spellEnd"/>
      <w:r>
        <w:rPr>
          <w:highlight w:val="yellow"/>
        </w:rPr>
        <w:t>]</w:t>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14:paraId="3898C00B" w14:textId="77777777" w:rsidR="009D4CF3" w:rsidRDefault="00000000">
      <w:pPr>
        <w:pStyle w:val="Heading2"/>
      </w:pPr>
      <w:r>
        <w:t>Results</w:t>
      </w:r>
    </w:p>
    <w:p w14:paraId="570C2E60" w14:textId="326EE807" w:rsidR="009D4CF3" w:rsidRDefault="00000000">
      <w:r>
        <w:rPr>
          <w:highlight w:val="yellow"/>
        </w:rPr>
        <w:t>[</w:t>
      </w:r>
      <w:proofErr w:type="spellStart"/>
      <w:r>
        <w:rPr>
          <w:highlight w:val="yellow"/>
        </w:rPr>
        <w:t>待补：按新的编码方案重新编码并分析后报告</w:t>
      </w:r>
      <w:proofErr w:type="spellEnd"/>
      <w:r>
        <w:rPr>
          <w:highlight w:val="yellow"/>
        </w:rPr>
        <w:t>。]</w:t>
      </w:r>
    </w:p>
    <w:p w14:paraId="095C048D" w14:textId="77777777" w:rsidR="009D4CF3" w:rsidRDefault="00000000">
      <w:pPr>
        <w:pStyle w:val="Heading1"/>
      </w:pPr>
      <w:r>
        <w:t>General Discussion</w:t>
      </w:r>
    </w:p>
    <w:p w14:paraId="2A274960" w14:textId="262DD448" w:rsidR="009D4CF3" w:rsidRDefault="00000000">
      <w:r w:rsidRPr="00055864">
        <w:rPr>
          <w:highlight w:val="yellow"/>
        </w:rPr>
        <w:t>[</w:t>
      </w:r>
      <w:r w:rsidR="00055864" w:rsidRPr="00055864">
        <w:rPr>
          <w:rFonts w:ascii="SimSun" w:eastAsia="SimSun" w:hAnsi="SimSun" w:cs="SimSun" w:hint="eastAsia"/>
          <w:highlight w:val="yellow"/>
        </w:rPr>
        <w:t>本节为初稿，只列出讨论的框架和要点</w:t>
      </w:r>
      <w:r w:rsidR="004C3895" w:rsidRPr="00055864">
        <w:rPr>
          <w:rFonts w:ascii="SimSun" w:eastAsia="SimSun" w:hAnsi="SimSun" w:cs="SimSun" w:hint="eastAsia"/>
          <w:highlight w:val="yellow"/>
        </w:rPr>
        <w:t>，</w:t>
      </w:r>
      <w:proofErr w:type="spellStart"/>
      <w:r w:rsidRPr="00055864">
        <w:rPr>
          <w:highlight w:val="yellow"/>
        </w:rPr>
        <w:t>将</w:t>
      </w:r>
      <w:r>
        <w:rPr>
          <w:highlight w:val="yellow"/>
        </w:rPr>
        <w:t>根据结果</w:t>
      </w:r>
      <w:proofErr w:type="spellEnd"/>
      <w:r w:rsidR="00D95BC4">
        <w:rPr>
          <w:rFonts w:ascii="SimSun" w:eastAsia="SimSun" w:hAnsi="SimSun" w:cs="SimSun" w:hint="eastAsia"/>
          <w:highlight w:val="yellow"/>
        </w:rPr>
        <w:t>进一步深入讨论</w:t>
      </w:r>
      <w:r>
        <w:rPr>
          <w:highlight w:val="yellow"/>
        </w:rPr>
        <w:t>。]</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0C5F8170" w14:textId="77777777" w:rsidR="009D4CF3" w:rsidRDefault="00000000">
      <w:pPr>
        <w:pStyle w:val="Heading2"/>
      </w:pPr>
      <w:r>
        <w:t>RVC and V1 Descriptions</w:t>
      </w:r>
    </w:p>
    <w:p w14:paraId="46F550EC" w14:textId="77777777" w:rsidR="009D4CF3" w:rsidRDefault="00000000">
      <w:r>
        <w:t xml:space="preserve">A larger effect of result realization on RVC than on V1 descriptions would show that children treat a result expressed by V2 differently from a result that is only associated with the </w:t>
      </w:r>
      <w:r>
        <w:lastRenderedPageBreak/>
        <w:t>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an association effect cannot be attributed to differences between objects or results. It would show that, for children, what a V1 description conveys about a result depends on how the named action relates to that result. An association effect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14:paraId="7174531D" w14:textId="77777777" w:rsidR="009D4CF3" w:rsidRDefault="00000000">
      <w:r>
        <w:t xml:space="preserve">Why action–result association might matter is not settled by previous work. Accounts of monomorphemic verbs hold that a verb can imply a result without entailing it and that the strength of the implication varies, whether across verbs (Chen, 2018) or across fulfillment types </w:t>
      </w:r>
      <w:r>
        <w:t>(Kou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an association effect, not as hypotheses the study was designed to test.</w:t>
      </w:r>
    </w:p>
    <w:p w14:paraId="16A57566" w14:textId="77777777" w:rsidR="009D4CF3" w:rsidRDefault="00000000">
      <w:r>
        <w:t>If children and adults show similar association effects, children are sensitive to action–result association in the same way as adults, and their stricter judgments of V1 descriptions hold regardless of how strongly the action is associated with the result. Their lower acceptance would then reflect a general difference in how children evaluate V1 descriptions of failed attempts. Three explanations of this difference cannot be separated by the binary task: Children may find it harder than adults to set aside an inference that the result occurred, may reject a true description as inadequate because it leaves an expected result unaddressed, or may judge a failed attempt to be a poor instance of the action. If, instead, the association effect is larger in children, their stricter judgments would be located mainly in V1s that name strongly associated actions; the pragmatic explanation would fit this pattern less naturally, because children tend to be more tolerant than adults of underinformative descriptions in binary judgment tasks (Katsos &amp; Bishop, 2011). Because adult acceptance in zero-result events may approach ceiling, however, a pattern found in acceptance probabilities need not hold on the log-odds scale, and conclusions take both scales into account.</w:t>
      </w:r>
    </w:p>
    <w:p w14:paraId="64959941" w14:textId="77777777" w:rsidR="009D4CF3" w:rsidRDefault="00000000">
      <w:r>
        <w:t xml:space="preserve">Because the stronger- and weaker-association expressions differ in both rated likelihood and rated typicality, the study cannot determine which dimension, or what the two share, underlies an association effect; the two ratings diverged only in Pair 7, which was excluded. The contrast between stronger- and weaker-association expressions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an association effect. This account is not incompatible with the association account, because an action that reliably brings about a result is also likely to be described often with the corresponding RVC, but the present materials cannot separate the two.</w:t>
      </w:r>
    </w:p>
    <w:p w14:paraId="5A252C3A" w14:textId="77777777" w:rsidR="009D4CF3" w:rsidRDefault="00000000">
      <w:pPr>
        <w:pStyle w:val="Heading2"/>
      </w:pPr>
      <w:r>
        <w:t>Form and Information in Production</w:t>
      </w:r>
    </w:p>
    <w:p w14:paraId="5F1E9033" w14:textId="77777777" w:rsidR="009D4CF3" w:rsidRDefault="00000000">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14:paraId="328EDA48" w14:textId="77777777" w:rsidR="009D4CF3" w:rsidRDefault="00000000">
      <w:pPr>
        <w:pStyle w:val="Heading2"/>
      </w:pPr>
      <w:r>
        <w:lastRenderedPageBreak/>
        <w:t>Limitations and Future Directions</w:t>
      </w:r>
    </w:p>
    <w:p w14:paraId="2D58C942" w14:textId="77777777" w:rsidR="009D4CF3" w:rsidRDefault="00000000">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so the eight-pair results should be read together with the 10-pair analyses, and an association effect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r>
        <w:rPr>
          <w:highlight w:val="yellow"/>
        </w:rPr>
        <w:t>[</w:t>
      </w:r>
      <w:proofErr w:type="spellStart"/>
      <w:r>
        <w:rPr>
          <w:highlight w:val="yellow"/>
        </w:rPr>
        <w:t>结论待根据结果改写</w:t>
      </w:r>
      <w:proofErr w:type="spellEnd"/>
      <w:r>
        <w:rPr>
          <w:highlight w:val="yellow"/>
        </w:rPr>
        <w:t>]</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1EE64877" w14:textId="77777777" w:rsidR="008215DC" w:rsidRDefault="00000000">
      <w:pPr>
        <w:pStyle w:val="Reference"/>
      </w:pPr>
      <w:proofErr w:type="spellStart"/>
      <w:r>
        <w:t>Skordos</w:t>
      </w:r>
      <w:proofErr w:type="spellEnd"/>
      <w:r>
        <w:t xml:space="preserve">, D., &amp; </w:t>
      </w:r>
      <w:proofErr w:type="spellStart"/>
      <w:r>
        <w:t>Papafragou</w:t>
      </w:r>
      <w:proofErr w:type="spellEnd"/>
      <w:r>
        <w:t xml:space="preserve">, A. (2016). Children’s derivation of scalar implicatures: Alternatives and relevance. </w:t>
      </w:r>
      <w:r>
        <w:rPr>
          <w:i/>
          <w:iCs/>
        </w:rPr>
        <w:t>Cognition, 153</w:t>
      </w:r>
      <w:r>
        <w:t>, 6–18. https://doi.org/10.1016/j.cognition.2016.04.006</w:t>
      </w:r>
      <w:proofErr w:type="spellStart"/>
      <w:proofErr w:type="spellEnd"/>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