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Mandarin-Speaking Children’s Interpretation and Expression of Actions and Results: Evidence from Resultative Verb Compounds and Monomorphemic V1s</w:t>
      </w:r>
    </w:p>
    <w:bookmarkStart w:id="25" w:name="introduction"/>
    <w:p>
      <w:pPr>
        <w:pStyle w:val="Heading1"/>
      </w:pPr>
      <w:r>
        <w:t xml:space="preserve">1. Introduction</w:t>
      </w:r>
    </w:p>
    <w:p>
      <w:pPr>
        <w:pStyle w:val="FirstParagraph"/>
      </w:pPr>
      <w:r>
        <w:t xml:space="preserve">Describing an event involves identifying what someone did and whether that action brought about a particular result. Someone can squeeze a lychee without getting it open, or wipe a mirror without getting it clean. To talk about such events, children must learn what different expressions commit a speaker to with respect to the result, and which information to express when they describe an event themselves.</w:t>
      </w:r>
    </w:p>
    <w:p>
      <w:pPr>
        <w:pStyle w:val="BodyText"/>
      </w:pPr>
      <w:r>
        <w:t xml:space="preserve">Mandarin resultative verb compounds (RVCs) and their monomorphemic first verbs make this learning problem especially visible. An RVC combines two verbal components: the first (V1) expresses an action, and the second (V2) expresses the resulting state of the affected entity (Li &amp; Thompson, 1981; Sybesma, 1999).</w:t>
      </w:r>
      <w:r>
        <w:t xml:space="preserve"> </w:t>
      </w:r>
      <w:r>
        <w:rPr>
          <w:iCs/>
          <w:i/>
        </w:rPr>
        <w:t xml:space="preserve">Tā bāo-kāi-le lìzhī</w:t>
      </w:r>
      <w:r>
        <w:t xml:space="preserve"> </w:t>
      </w:r>
      <w:r>
        <w:t xml:space="preserve">“</w:t>
      </w:r>
      <w:r>
        <w:t xml:space="preserve">She peel-open-PERF lychee</w:t>
      </w:r>
      <w:r>
        <w:t xml:space="preserve">”</w:t>
      </w:r>
      <w:r>
        <w:t xml:space="preserve"> </w:t>
      </w:r>
      <w:r>
        <w:t xml:space="preserve">thus states both that she peeled the lychee and that the lychee came open. The V1 alone, as in</w:t>
      </w:r>
      <w:r>
        <w:t xml:space="preserve"> </w:t>
      </w:r>
      <w:r>
        <w:rPr>
          <w:iCs/>
          <w:i/>
        </w:rPr>
        <w:t xml:space="preserve">Tā bāo-le lìzhī</w:t>
      </w:r>
      <w:r>
        <w:t xml:space="preserve"> </w:t>
      </w:r>
      <w:r>
        <w:t xml:space="preserve">“</w:t>
      </w:r>
      <w:r>
        <w:t xml:space="preserve">She peeled the lychee,</w:t>
      </w:r>
      <w:r>
        <w:t xml:space="preserve">”</w:t>
      </w:r>
      <w:r>
        <w:t xml:space="preserve"> </w:t>
      </w:r>
      <w:r>
        <w:t xml:space="preserve">expresses the action but does not itself express that resulting state. For many Mandarin monomorphemic verbs, the result is not entailed. Tai (1984) observed that</w:t>
      </w:r>
      <w:r>
        <w:t xml:space="preserve"> </w:t>
      </w:r>
      <w:r>
        <w:rPr>
          <w:iCs/>
          <w:i/>
        </w:rPr>
        <w:t xml:space="preserve">shā</w:t>
      </w:r>
      <w:r>
        <w:t xml:space="preserve"> </w:t>
      </w:r>
      <w:r>
        <w:t xml:space="preserve">“</w:t>
      </w:r>
      <w:r>
        <w:t xml:space="preserve">kill</w:t>
      </w:r>
      <w:r>
        <w:t xml:space="preserve">”</w:t>
      </w:r>
      <w:r>
        <w:t xml:space="preserve"> </w:t>
      </w:r>
      <w:r>
        <w:t xml:space="preserve">can be used of an event in which the victim did not die, whereas the corresponding RVC</w:t>
      </w:r>
      <w:r>
        <w:t xml:space="preserve"> </w:t>
      </w:r>
      <w:r>
        <w:rPr>
          <w:iCs/>
          <w:i/>
        </w:rPr>
        <w:t xml:space="preserve">shā-sǐ</w:t>
      </w:r>
      <w:r>
        <w:t xml:space="preserve"> </w:t>
      </w:r>
      <w:r>
        <w:t xml:space="preserve">“</w:t>
      </w:r>
      <w:r>
        <w:t xml:space="preserve">kill-dead</w:t>
      </w:r>
      <w:r>
        <w:t xml:space="preserve">”</w:t>
      </w:r>
      <w:r>
        <w:t xml:space="preserve"> </w:t>
      </w:r>
      <w:r>
        <w:t xml:space="preserve">cannot, and Talmy (1991, 2000) identified verbs of this kind, whose result is implied but can be cancelled, as a major type in Mandarin. A listener who hears a V1 description may nevertheless infer that the result was attained, that is, that the event</w:t>
      </w:r>
      <w:r>
        <w:t xml:space="preserve"> </w:t>
      </w:r>
      <w:r>
        <w:rPr>
          <w:iCs/>
          <w:i/>
        </w:rPr>
        <w:t xml:space="preserve">culminated</w:t>
      </w:r>
      <w:r>
        <w:t xml:space="preserve">. Because this culmination inference is not entailed, it can be cancelled by further information (J. Liu et al., 2026).¹ RVCs and their V1s therefore differ in whether the result is entailed or only inferred, and this difference becomes observable when an action is performed but its result is not attained.</w:t>
      </w:r>
    </w:p>
    <w:p>
      <w:pPr>
        <w:pStyle w:val="BodyText"/>
      </w:pPr>
      <w:r>
        <w:t xml:space="preserve">Research on acquisition shows that Mandarin-speaking children produce RVCs early, although their command of RVC event structure develops gradually (Chen, 2008; Deng, 2019), and that by around five years of age they treat RVCs as requiring the result in comprehension (J. Liu et al., 2026). Their interpretation of the corresponding V1s is less adult-like. Chen (2017) found that the transparency of RVCs helps children learn the state-change meanings of the compounds, but that children have difficulty unpacking the meanings of the individual verbs, and children have been reported to interpret simple verbs such as</w:t>
      </w:r>
      <w:r>
        <w:t xml:space="preserve"> </w:t>
      </w:r>
      <w:r>
        <w:rPr>
          <w:iCs/>
          <w:i/>
        </w:rPr>
        <w:t xml:space="preserve">guān</w:t>
      </w:r>
      <w:r>
        <w:t xml:space="preserve"> </w:t>
      </w:r>
      <w:r>
        <w:t xml:space="preserve">“</w:t>
      </w:r>
      <w:r>
        <w:t xml:space="preserve">close</w:t>
      </w:r>
      <w:r>
        <w:t xml:space="preserve">”</w:t>
      </w:r>
      <w:r>
        <w:t xml:space="preserve"> </w:t>
      </w:r>
      <w:r>
        <w:t xml:space="preserve">as entailing a change of state that adults do not require (Chen, 2017).⟦待核：Chen 2017 全文中的具体数据与出处（或为 Chen 2005/2008）⟧ J. Liu et al. (2026) similarly found that 5-year-olds, who rejected RVC descriptions of events without the result, also rejected descriptions with monomorphemic causative verbs in such events more often than adults did. This pattern raises the question of how children interpret monomorphemic V1s, and it cannot be answered by contrasting V1s with RVCs alone. Adults’ acceptance of result cancellation also varies across monomorphemic verbs, forming a cline rather than a binary contrast (Chen, 2018). Whether a child accepts a V1 description of an unattained result may therefore depend on which V1 is used and on how that action is related to the result in question.</w:t>
      </w:r>
    </w:p>
    <w:p>
      <w:pPr>
        <w:pStyle w:val="BodyText"/>
      </w:pPr>
      <w:r>
        <w:t xml:space="preserve">The present study examines Mandarin-speaking 4- and 5-year-olds’ interpretation and production of RVCs and monomorphemic V1s, with adults tested as a reference group. It compares RVC and V1 descriptions of events in which a target result is either attained or not, and it compares V1s that share an object and a target result but were selected to differ in how strongly they are associated with that result. To characterize this difference with explicit measures, adults rated each V1–object expression for</w:t>
      </w:r>
      <w:r>
        <w:t xml:space="preserve"> </w:t>
      </w:r>
      <w:r>
        <w:rPr>
          <w:iCs/>
          <w:i/>
        </w:rPr>
        <w:t xml:space="preserve">result likelihood</w:t>
      </w:r>
      <w:r>
        <w:t xml:space="preserve">, how likely the target result is to follow the action, and</w:t>
      </w:r>
      <w:r>
        <w:t xml:space="preserve"> </w:t>
      </w:r>
      <w:r>
        <w:rPr>
          <w:iCs/>
          <w:i/>
        </w:rPr>
        <w:t xml:space="preserve">action typicality</w:t>
      </w:r>
      <w:r>
        <w:t xml:space="preserve">, how typical the action is as a means of achieving that result. Section 1.1 reviews what is known about the relation between V1, V2, and the RVC as a whole, and why existing classifications of V1s leave the relation between a V1 and a particular result underspecified. Section 1.2 explains why result likelihood and action typicality are used to distinguish V1s. Sections 1.3 and 1.4 review children’s comprehension and production of RVCs and V1s, and Section 1.5 presents the research questions and predictions.</w:t>
      </w:r>
    </w:p>
    <w:p>
      <w:pPr>
        <w:pStyle w:val="BodyText"/>
      </w:pPr>
      <w:r>
        <w:t xml:space="preserve">¹ The study concerns culmination, whether the result expressed by V2 is attained in the depicted event, rather than telicity, the presence of an inherent endpoint in the event structure of a predicate; a telic predicate may still permit non-culminating uses (J. Liu, 2018). Throughout, the</w:t>
      </w:r>
      <w:r>
        <w:t xml:space="preserve"> </w:t>
      </w:r>
      <w:r>
        <w:rPr>
          <w:iCs/>
          <w:i/>
        </w:rPr>
        <w:t xml:space="preserve">target result</w:t>
      </w:r>
      <w:r>
        <w:t xml:space="preserve"> </w:t>
      </w:r>
      <w:r>
        <w:t xml:space="preserve">is the result expressed by V2 in the paired RVC;</w:t>
      </w:r>
      <w:r>
        <w:t xml:space="preserve"> </w:t>
      </w:r>
      <w:r>
        <w:rPr>
          <w:iCs/>
          <w:i/>
        </w:rPr>
        <w:t xml:space="preserve">target</w:t>
      </w:r>
      <w:r>
        <w:t xml:space="preserve"> </w:t>
      </w:r>
      <w:r>
        <w:t xml:space="preserve">does not imply that the result is intended or expected. In</w:t>
      </w:r>
      <w:r>
        <w:t xml:space="preserve"> </w:t>
      </w:r>
      <w:r>
        <w:rPr>
          <w:iCs/>
          <w:i/>
        </w:rPr>
        <w:t xml:space="preserve">full-result</w:t>
      </w:r>
      <w:r>
        <w:t xml:space="preserve"> </w:t>
      </w:r>
      <w:r>
        <w:t xml:space="preserve">events the target result is visibly attained; in</w:t>
      </w:r>
      <w:r>
        <w:t xml:space="preserve"> </w:t>
      </w:r>
      <w:r>
        <w:rPr>
          <w:iCs/>
          <w:i/>
        </w:rPr>
        <w:t xml:space="preserve">zero-result</w:t>
      </w:r>
      <w:r>
        <w:t xml:space="preserve"> </w:t>
      </w:r>
      <w:r>
        <w:t xml:space="preserve">events the action is performed but the target result is not attained.</w:t>
      </w:r>
    </w:p>
    <w:bookmarkStart w:id="20" w:name="X4e53febf927fd2db115063afc8be88ad2f80fd2"/>
    <w:p>
      <w:pPr>
        <w:pStyle w:val="Heading2"/>
      </w:pPr>
      <w:r>
        <w:t xml:space="preserve">1.1 V1, V2, and the Classification of Monomorphemic V1s</w:t>
      </w:r>
    </w:p>
    <w:p>
      <w:pPr>
        <w:pStyle w:val="FirstParagraph"/>
      </w:pPr>
      <w:r>
        <w:t xml:space="preserve">Prior work on RVCs bears on three properties of the V1 that are relevant here: which V1s can enter RVCs, what constrains their combination with V2, and what a V1 conveys about a result on its own.</w:t>
      </w:r>
    </w:p>
    <w:p>
      <w:pPr>
        <w:pStyle w:val="BodyText"/>
      </w:pPr>
      <w:r>
        <w:t xml:space="preserve">First, the V1 of an RVC is not restricted to transitive activity verbs; Huang (2006), for example, analyzes resultatives with unergative V1s. Membership in a verb class therefore does not by itself determine which compounds exist. The present study is restricted to agentive transitive RVCs in which V2 predicates a resulting state of the object, which keeps the action–result–participant configuration comparable across materials.</w:t>
      </w:r>
    </w:p>
    <w:p>
      <w:pPr>
        <w:pStyle w:val="BodyText"/>
      </w:pPr>
      <w:r>
        <w:t xml:space="preserve">Second, V1–V2 combination is constrained by the relation between the two components. Li (1990, 1995) derives the argument structure of V–V compounds from the thematic properties of V1 and V2 and from the interaction of thematic and causative hierarchies. Han (2021) analyzes V1–V2 sentences as describing a force exerted by one entity on another: V1 names the action through which the force is realized, and V2 names the result state of the affected entity. On either account, whether a compound is possible depends on how a particular V1 relates to a particular result. Correspondingly, the same V1 can combine with different V2s and the same V2 with different V1s:</w:t>
      </w:r>
      <w:r>
        <w:t xml:space="preserve"> </w:t>
      </w:r>
      <w:r>
        <w:rPr>
          <w:iCs/>
          <w:i/>
        </w:rPr>
        <w:t xml:space="preserve">tī</w:t>
      </w:r>
      <w:r>
        <w:t xml:space="preserve"> </w:t>
      </w:r>
      <w:r>
        <w:t xml:space="preserve">“</w:t>
      </w:r>
      <w:r>
        <w:t xml:space="preserve">kick</w:t>
      </w:r>
      <w:r>
        <w:t xml:space="preserve">”</w:t>
      </w:r>
      <w:r>
        <w:t xml:space="preserve"> </w:t>
      </w:r>
      <w:r>
        <w:t xml:space="preserve">forms both</w:t>
      </w:r>
      <w:r>
        <w:t xml:space="preserve"> </w:t>
      </w:r>
      <w:r>
        <w:rPr>
          <w:iCs/>
          <w:i/>
        </w:rPr>
        <w:t xml:space="preserve">tī-dǎo</w:t>
      </w:r>
      <w:r>
        <w:t xml:space="preserve"> </w:t>
      </w:r>
      <w:r>
        <w:t xml:space="preserve">“</w:t>
      </w:r>
      <w:r>
        <w:t xml:space="preserve">kick-fallen</w:t>
      </w:r>
      <w:r>
        <w:t xml:space="preserve">”</w:t>
      </w:r>
      <w:r>
        <w:t xml:space="preserve"> </w:t>
      </w:r>
      <w:r>
        <w:t xml:space="preserve">and</w:t>
      </w:r>
      <w:r>
        <w:t xml:space="preserve"> </w:t>
      </w:r>
      <w:r>
        <w:rPr>
          <w:iCs/>
          <w:i/>
        </w:rPr>
        <w:t xml:space="preserve">tī-kāi</w:t>
      </w:r>
      <w:r>
        <w:t xml:space="preserve"> </w:t>
      </w:r>
      <w:r>
        <w:t xml:space="preserve">“</w:t>
      </w:r>
      <w:r>
        <w:t xml:space="preserve">kick-open,</w:t>
      </w:r>
      <w:r>
        <w:t xml:space="preserve">”</w:t>
      </w:r>
      <w:r>
        <w:t xml:space="preserve"> </w:t>
      </w:r>
      <w:r>
        <w:t xml:space="preserve">and</w:t>
      </w:r>
      <w:r>
        <w:t xml:space="preserve"> </w:t>
      </w:r>
      <w:r>
        <w:rPr>
          <w:iCs/>
          <w:i/>
        </w:rPr>
        <w:t xml:space="preserve">miè</w:t>
      </w:r>
      <w:r>
        <w:t xml:space="preserve"> </w:t>
      </w:r>
      <w:r>
        <w:t xml:space="preserve">“</w:t>
      </w:r>
      <w:r>
        <w:t xml:space="preserve">extinguished</w:t>
      </w:r>
      <w:r>
        <w:t xml:space="preserve">”</w:t>
      </w:r>
      <w:r>
        <w:t xml:space="preserve"> </w:t>
      </w:r>
      <w:r>
        <w:t xml:space="preserve">follows both</w:t>
      </w:r>
      <w:r>
        <w:t xml:space="preserve"> </w:t>
      </w:r>
      <w:r>
        <w:rPr>
          <w:iCs/>
          <w:i/>
        </w:rPr>
        <w:t xml:space="preserve">chuī</w:t>
      </w:r>
      <w:r>
        <w:t xml:space="preserve"> </w:t>
      </w:r>
      <w:r>
        <w:t xml:space="preserve">“</w:t>
      </w:r>
      <w:r>
        <w:t xml:space="preserve">blow</w:t>
      </w:r>
      <w:r>
        <w:t xml:space="preserve">”</w:t>
      </w:r>
      <w:r>
        <w:t xml:space="preserve"> </w:t>
      </w:r>
      <w:r>
        <w:t xml:space="preserve">and</w:t>
      </w:r>
      <w:r>
        <w:t xml:space="preserve"> </w:t>
      </w:r>
      <w:r>
        <w:rPr>
          <w:iCs/>
          <w:i/>
        </w:rPr>
        <w:t xml:space="preserve">huī</w:t>
      </w:r>
      <w:r>
        <w:t xml:space="preserve"> </w:t>
      </w:r>
      <w:r>
        <w:t xml:space="preserve">“</w:t>
      </w:r>
      <w:r>
        <w:t xml:space="preserve">wave.</w:t>
      </w:r>
      <w:r>
        <w:t xml:space="preserve">”</w:t>
      </w:r>
    </w:p>
    <w:p>
      <w:pPr>
        <w:pStyle w:val="BodyText"/>
      </w:pPr>
      <w:r>
        <w:t xml:space="preserve">Third, what a V1 conveys about a result on its own has been characterized in ways that do not align. Mandarin monomorphemic verbs such as</w:t>
      </w:r>
      <w:r>
        <w:t xml:space="preserve"> </w:t>
      </w:r>
      <w:r>
        <w:rPr>
          <w:iCs/>
          <w:i/>
        </w:rPr>
        <w:t xml:space="preserve">shā</w:t>
      </w:r>
      <w:r>
        <w:t xml:space="preserve"> </w:t>
      </w:r>
      <w:r>
        <w:t xml:space="preserve">“</w:t>
      </w:r>
      <w:r>
        <w:t xml:space="preserve">kill</w:t>
      </w:r>
      <w:r>
        <w:t xml:space="preserve">”</w:t>
      </w:r>
      <w:r>
        <w:t xml:space="preserve"> </w:t>
      </w:r>
      <w:r>
        <w:t xml:space="preserve">and</w:t>
      </w:r>
      <w:r>
        <w:t xml:space="preserve"> </w:t>
      </w:r>
      <w:r>
        <w:rPr>
          <w:iCs/>
          <w:i/>
        </w:rPr>
        <w:t xml:space="preserve">guān</w:t>
      </w:r>
      <w:r>
        <w:t xml:space="preserve"> </w:t>
      </w:r>
      <w:r>
        <w:t xml:space="preserve">“</w:t>
      </w:r>
      <w:r>
        <w:t xml:space="preserve">close</w:t>
      </w:r>
      <w:r>
        <w:t xml:space="preserve">”</w:t>
      </w:r>
      <w:r>
        <w:t xml:space="preserve"> </w:t>
      </w:r>
      <w:r>
        <w:t xml:space="preserve">have been analyzed as activity verbs that do not encode the result (Tai, 1984), as implied-fulfillment verbs whose result is implicated but cancellable (Talmy, 1991, 2000), and as causative verbs that nevertheless allow zero-change construals (Martin et al., 2023). Kou and Hohenstein (2022) distinguish four fulfillment types, from verbs that leave the result unspecified to verbs that entail it, and propose diagnostics for assigning English and Mandarin verbs to them. Chen (2018), using adult ratings, found that the acceptability of cancelling the result varies along a cline across verbs, and J. Liu et al. (2026) showed that such cancellation also depends on context, such as the presence of</w:t>
      </w:r>
      <w:r>
        <w:t xml:space="preserve"> </w:t>
      </w:r>
      <w:r>
        <w:rPr>
          <w:iCs/>
          <w:i/>
        </w:rPr>
        <w:t xml:space="preserve">hǎojǐcì</w:t>
      </w:r>
      <w:r>
        <w:t xml:space="preserve"> </w:t>
      </w:r>
      <w:r>
        <w:t xml:space="preserve">“</w:t>
      </w:r>
      <w:r>
        <w:t xml:space="preserve">several times.</w:t>
      </w:r>
      <w:r>
        <w:t xml:space="preserve">”</w:t>
      </w:r>
      <w:r>
        <w:t xml:space="preserve"> </w:t>
      </w:r>
      <w:r>
        <w:t xml:space="preserve">These accounts differ in their criteria and in where they draw boundaries, but they share one feature: result strength is treated as a property of the verb.</w:t>
      </w:r>
    </w:p>
    <w:p>
      <w:pPr>
        <w:pStyle w:val="BodyText"/>
      </w:pPr>
      <w:r>
        <w:t xml:space="preserve">This verb-level characterization is a limitation for studying how a V1 description is interpreted for a particular event. A comprehension task presents a V1 with a particular object and asks about a particular result, and, as the combination facts show, a V1’s relation to a result depends on the result in question: kicking is plausibly a reliable way of knocking over a bottle but a less reliable way of opening a door. Work on sentence processing likewise shows that comprehenders’ expectations about events depend on the combination of a verb with its arguments rather than on the verb alone (Bicknell et al., 2010; McRae &amp; Matsuki, 2009). Previous child studies have described differences among V1s in terms of the strength of the result inference without measuring the particular action–result relation depicted. The present study does not propose a new classification of V1s. Instead, it characterizes the selected V1–object expressions with respect to their target results along two dimensions.</w:t>
      </w:r>
    </w:p>
    <w:bookmarkEnd w:id="20"/>
    <w:bookmarkStart w:id="21" w:name="result-likelihood-and-action-typicality"/>
    <w:p>
      <w:pPr>
        <w:pStyle w:val="Heading2"/>
      </w:pPr>
      <w:r>
        <w:t xml:space="preserve">1.2 Result Likelihood and Action Typicality</w:t>
      </w:r>
    </w:p>
    <w:p>
      <w:pPr>
        <w:pStyle w:val="FirstParagraph"/>
      </w:pPr>
      <w:r>
        <w:t xml:space="preserve">The relation between a V1 action and a target result can be evaluated from either end.</w:t>
      </w:r>
      <w:r>
        <w:t xml:space="preserve"> </w:t>
      </w:r>
      <w:r>
        <w:rPr>
          <w:iCs/>
          <w:i/>
        </w:rPr>
        <w:t xml:space="preserve">Result likelihood</w:t>
      </w:r>
      <w:r>
        <w:t xml:space="preserve"> </w:t>
      </w:r>
      <w:r>
        <w:t xml:space="preserve">starts from the action: once the V1–object action has been performed, how likely is the target result to follow?</w:t>
      </w:r>
      <w:r>
        <w:t xml:space="preserve"> </w:t>
      </w:r>
      <w:r>
        <w:rPr>
          <w:iCs/>
          <w:i/>
        </w:rPr>
        <w:t xml:space="preserve">Action typicality</w:t>
      </w:r>
      <w:r>
        <w:t xml:space="preserve"> </w:t>
      </w:r>
      <w:r>
        <w:t xml:space="preserve">starts from the result: given the target result, how typical is the action as a means of achieving it? Both dimensions concern the relation on which RVC formation depends, namely how a particular V1 event relates to a particular result (Section 1.1), but they bear on the interpretation of a V1 description in different ways.</w:t>
      </w:r>
    </w:p>
    <w:p>
      <w:pPr>
        <w:pStyle w:val="BodyText"/>
      </w:pPr>
      <w:r>
        <w:t xml:space="preserve">Result likelihood corresponds most directly to the strength of the culmination inference. Accounts of monomorphemic verbs hold that a verb can imply a result without entailing it and that the strength of the implication varies, whether across verbs (Chen, 2018) or across fulfillment types that differ in the certainty of the result (Kou &amp; Hohenstein, 2022, 2024), but they do not specify what the strength depends on. The present study takes as a working assumption that one relevant factor is how likely the result is to follow the action: the more likely the result, the stronger the expectation that the event culminated, and the less acceptable a V1 description may seem when the result is absent. Likelihood is therefore the dimension most directly tied to the question of which stage of an event a V1 description is taken to describe.</w:t>
      </w:r>
    </w:p>
    <w:p>
      <w:pPr>
        <w:pStyle w:val="BodyText"/>
      </w:pPr>
      <w:r>
        <w:t xml:space="preserve">Action typicality is related to likelihood but not reducible to it. Actions are understood as directed toward results, and an expression can describe an action aimed at a result while leaving its attainment open (Talmy, 1991, 2000; Kou &amp; Hohenstein, 2024). The actions that achieve a given result can thus be viewed as a goal-derived category. In such categories, typicality is predicted by how well members serve the goal and by how often they are encountered as members, rather than by similarity to the category’s central tendency (Barsalou, 1985). Likelihood and typicality are therefore expected to be correlated, because an action that reliably produces a result is often also a common way of producing it. They need not coincide, however: exemplars with goal-serving properties are not necessarily rated as more typical (Kim &amp; Murphy, 2011). Calling someone, for example, is a typical way of waking them up, whereas pinching is a less typical way that may nonetheless be judged more likely to succeed.</w:t>
      </w:r>
    </w:p>
    <w:p>
      <w:pPr>
        <w:pStyle w:val="BodyText"/>
      </w:pPr>
      <w:r>
        <w:t xml:space="preserve">Typicality also offers a distinct route to children’s judgments. Mandarin-speaking 3-year-olds are reluctant to extend familiar verbs beyond typical instances of the actions they name (Ma et al., 2021). If children’s representation of an action includes the result it usually brings about, an attempt that fails to bring about that result may be judged a poor instance of the action, and a V1 description may be rejected for that reason rather than because the child expects the result to have occurred. Ma et al.’s measure concerned how typical an action is as an instance of a verb, not as a means to a result, so this extension is a hypothesis to be tested rather than an established finding. Because the two dimensions may be correlated in any set of materials, an association between children’s judgments and likelihood could reflect typicality, and vice versa; both ratings are therefore needed. Neither rating measures lexical entailment or children’s own knowledge: both are adult reference measures of the selected V1–object–result relations.</w:t>
      </w:r>
    </w:p>
    <w:bookmarkEnd w:id="21"/>
    <w:bookmarkStart w:id="22" w:name="childrens-comprehension-of-rvcs-and-v1s"/>
    <w:p>
      <w:pPr>
        <w:pStyle w:val="Heading2"/>
      </w:pPr>
      <w:r>
        <w:t xml:space="preserve">1.3 Children’s Comprehension of RVCs and V1s</w:t>
      </w:r>
    </w:p>
    <w:p>
      <w:pPr>
        <w:pStyle w:val="FirstParagraph"/>
      </w:pPr>
      <w:r>
        <w:t xml:space="preserve">Comprehension studies of RVCs and V1s present events with or without the result and ask children to judge perfective descriptions of them. Mandarin-speaking children show early sensitivity to the association between the perfective marker</w:t>
      </w:r>
      <w:r>
        <w:t xml:space="preserve"> </w:t>
      </w:r>
      <w:r>
        <w:rPr>
          <w:iCs/>
          <w:i/>
        </w:rPr>
        <w:t xml:space="preserve">-le</w:t>
      </w:r>
      <w:r>
        <w:t xml:space="preserve"> </w:t>
      </w:r>
      <w:r>
        <w:t xml:space="preserve">and telic verbs (Li &amp; Bowerman, 1998). Within this paradigm, J. Liu et al. (2026) found that 3-year-olds accepted non-culminating interpretations of both RVCs and monomorphemic causative verbs, whereas 5-year-olds rejected them for RVCs but rejected them for monomorphemic verbs more often than adults did; the adverbial</w:t>
      </w:r>
      <w:r>
        <w:t xml:space="preserve"> </w:t>
      </w:r>
      <w:r>
        <w:rPr>
          <w:iCs/>
          <w:i/>
        </w:rPr>
        <w:t xml:space="preserve">hǎojǐcì</w:t>
      </w:r>
      <w:r>
        <w:t xml:space="preserve"> </w:t>
      </w:r>
      <w:r>
        <w:t xml:space="preserve">“</w:t>
      </w:r>
      <w:r>
        <w:t xml:space="preserve">several times</w:t>
      </w:r>
      <w:r>
        <w:t xml:space="preserve">”</w:t>
      </w:r>
      <w:r>
        <w:t xml:space="preserve"> </w:t>
      </w:r>
      <w:r>
        <w:t xml:space="preserve">increased acceptance of non-culminating interpretations in all age groups. The 5-year-olds thus distinguished the two forms, yet their judgments of V1 descriptions remained stricter than adults’.</w:t>
      </w:r>
    </w:p>
    <w:p>
      <w:pPr>
        <w:pStyle w:val="BodyText"/>
      </w:pPr>
      <w:r>
        <w:t xml:space="preserve">Children’s rejection of V1 descriptions in zero-result events is open to several explanations, which make partly different predictions for the present design.</w:t>
      </w:r>
    </w:p>
    <w:p>
      <w:pPr>
        <w:numPr>
          <w:ilvl w:val="0"/>
          <w:numId w:val="1001"/>
        </w:numPr>
      </w:pPr>
      <w:r>
        <w:rPr>
          <w:iCs/>
          <w:i/>
        </w:rPr>
        <w:t xml:space="preserve">Result encoding.</w:t>
      </w:r>
      <w:r>
        <w:t xml:space="preserve"> </w:t>
      </w:r>
      <w:r>
        <w:t xml:space="preserve">Children may represent the V1, like the RVC, as encoding the result. On this account, V1 and RVC descriptions should be rejected to a similar degree in zero-result events, so that the effect of result realization should not differ between the two forms. A verb-specific version, in which only some V1s are represented as encoding the result, would instead predict that zero-result acceptance differs between expressions in an all-or-none way rather than varying gradually with the ratings. A lack of difference between the forms could also arise in the opposite way, if children, like the 3-year-olds in J. Liu et al. (2026), accept zero-result descriptions with both forms; the two possibilities are distinguished by whether zero-result acceptance is low or high for both forms.</w:t>
      </w:r>
    </w:p>
    <w:p>
      <w:pPr>
        <w:numPr>
          <w:ilvl w:val="0"/>
          <w:numId w:val="1001"/>
        </w:numPr>
      </w:pPr>
      <w:r>
        <w:rPr>
          <w:iCs/>
          <w:i/>
        </w:rPr>
        <w:t xml:space="preserve">Inference.</w:t>
      </w:r>
      <w:r>
        <w:t xml:space="preserve"> </w:t>
      </w:r>
      <w:r>
        <w:t xml:space="preserve">Children may represent the V1 as not encoding the result but find it harder than adults to set aside an inference that the result occurred. This account predicts that zero-result rejection increases with result likelihood, and that likelihood matters less when the result is attained.</w:t>
      </w:r>
    </w:p>
    <w:p>
      <w:pPr>
        <w:numPr>
          <w:ilvl w:val="0"/>
          <w:numId w:val="1001"/>
        </w:numPr>
      </w:pPr>
      <w:r>
        <w:rPr>
          <w:iCs/>
          <w:i/>
        </w:rPr>
        <w:t xml:space="preserve">Pragmatic inadequacy.</w:t>
      </w:r>
      <w:r>
        <w:t xml:space="preserve"> </w:t>
      </w:r>
      <w:r>
        <w:t xml:space="preserve">Children may judge the V1 description true but inadequate. When an event shows an action that fails to produce its result, the result becomes relevant, and a description that leaves it unaddressed may be rejected as underinformative; children’s sensitivity to informativeness increases when the relevant alternative is accessible and relevant (Skordos &amp; Papafragou, 2016). Because a result is more relevant the more it is expected, this account also predicts more rejection with higher likelihood. Two considerations limit it. A binary judgment cannot distinguish it from (b), and in binary tasks children often accept underinformative statements that they nonetheless rate lower on a graded scale (Katsos &amp; Bishop, 2011; Papafragou &amp; Musolino, 2003), so pragmatic dispreference need not surface as rejection.</w:t>
      </w:r>
    </w:p>
    <w:p>
      <w:pPr>
        <w:numPr>
          <w:ilvl w:val="0"/>
          <w:numId w:val="1001"/>
        </w:numPr>
      </w:pPr>
      <w:r>
        <w:rPr>
          <w:iCs/>
          <w:i/>
        </w:rPr>
        <w:t xml:space="preserve">Atypical instance.</w:t>
      </w:r>
      <w:r>
        <w:t xml:space="preserve"> </w:t>
      </w:r>
      <w:r>
        <w:t xml:space="preserve">Children may reject the V1 description because a failed attempt is an atypical instance of the action (Section 1.2). This account predicts that zero-result rejection increases with action typicality: the more typical the action is as a means to the result, the more its failure departs from the usual course of the action.</w:t>
      </w:r>
    </w:p>
    <w:p>
      <w:pPr>
        <w:pStyle w:val="FirstParagraph"/>
      </w:pPr>
      <w:r>
        <w:t xml:space="preserve">The comparison of RVC and V1 descriptions bears on (a): a smaller effect of result realization on V1 than on RVC descriptions would indicate that children do not treat the V1 as encoding the result in the way the RVC does, provided that RVC descriptions of zero-result events are themselves rejected. The rating analyses bear on (b)–(d). Accounts (b) and (c) predict an association with likelihood, and account (d) predicts an association with typicality. Because the two ratings are correlated in the present materials, the study asks whether each rating is associated with children’s judgments on its own and whether either explains additional variation after the other is taken into account. If neither explains variation beyond the other, the results will leave open whether children’s judgments track likelihood, typicality, or information shared by both.</w:t>
      </w:r>
    </w:p>
    <w:bookmarkEnd w:id="22"/>
    <w:bookmarkStart w:id="23" w:name="childrens-production-of-rvcs-and-v1s"/>
    <w:p>
      <w:pPr>
        <w:pStyle w:val="Heading2"/>
      </w:pPr>
      <w:r>
        <w:t xml:space="preserve">1.4 Children’s Production of RVCs and V1s</w:t>
      </w:r>
    </w:p>
    <w:p>
      <w:pPr>
        <w:pStyle w:val="FirstParagraph"/>
      </w:pPr>
      <w:r>
        <w:t xml:space="preserve">Comprehension shows how children evaluate descriptions supplied to them; production shows which information they choose to express when no description is supplied. Children produce RVCs from early on (Chen, 2008; Deng, 2019), and children between 3 and 5 years can produce RVCs with the infixes</w:t>
      </w:r>
      <w:r>
        <w:t xml:space="preserve"> </w:t>
      </w:r>
      <w:r>
        <w:rPr>
          <w:iCs/>
          <w:i/>
        </w:rPr>
        <w:t xml:space="preserve">-de-</w:t>
      </w:r>
      <w:r>
        <w:t xml:space="preserve"> </w:t>
      </w:r>
      <w:r>
        <w:t xml:space="preserve">and</w:t>
      </w:r>
      <w:r>
        <w:t xml:space="preserve"> </w:t>
      </w:r>
      <w:r>
        <w:rPr>
          <w:iCs/>
          <w:i/>
        </w:rPr>
        <w:t xml:space="preserve">-bu-</w:t>
      </w:r>
      <w:r>
        <w:t xml:space="preserve"> </w:t>
      </w:r>
      <w:r>
        <w:t xml:space="preserve">when primed, which indicates that they treat V1 and V2 as separable components (Hsu et al., 2019). Production research has largely asked whether and when children form RVCs; it has rarely compared descriptions of matched events in which the same action does or does not attain its result.</w:t>
      </w:r>
    </w:p>
    <w:p>
      <w:pPr>
        <w:pStyle w:val="BodyText"/>
      </w:pPr>
      <w:r>
        <w:t xml:space="preserve">This comparison is informative because RVC use and mention of the result do not coincide. When the result is attained, a speaker may describe the event with an RVC, name only the action, name only the result (e.g.,</w:t>
      </w:r>
      <w:r>
        <w:t xml:space="preserve"> </w:t>
      </w:r>
      <w:r>
        <w:rPr>
          <w:iCs/>
          <w:i/>
        </w:rPr>
        <w:t xml:space="preserve">miè le</w:t>
      </w:r>
      <w:r>
        <w:t xml:space="preserve"> </w:t>
      </w:r>
      <w:r>
        <w:t xml:space="preserve">“</w:t>
      </w:r>
      <w:r>
        <w:t xml:space="preserve">went out</w:t>
      </w:r>
      <w:r>
        <w:t xml:space="preserve">”</w:t>
      </w:r>
      <w:r>
        <w:t xml:space="preserve">), or express the action and the result in separate predicates. When the result is not attained, a speaker may describe only the action or mention the result in order to deny it, as in</w:t>
      </w:r>
      <w:r>
        <w:t xml:space="preserve"> </w:t>
      </w:r>
      <w:r>
        <w:rPr>
          <w:iCs/>
          <w:i/>
        </w:rPr>
        <w:t xml:space="preserve">méi bāo-kāi</w:t>
      </w:r>
      <w:r>
        <w:t xml:space="preserve"> </w:t>
      </w:r>
      <w:r>
        <w:t xml:space="preserve">“</w:t>
      </w:r>
      <w:r>
        <w:t xml:space="preserve">did not peel open.</w:t>
      </w:r>
      <w:r>
        <w:t xml:space="preserve">”</w:t>
      </w:r>
      <w:r>
        <w:t xml:space="preserve"> </w:t>
      </w:r>
      <w:r>
        <w:t xml:space="preserve">A child who produces fewer RVCs may therefore leave the result unmentioned or express it in another form, so RVC frequency alone does not show whether children encode the result. Distinguishing these possibilities requires coding whether an RVC is used and, among responses without one, whether the action, the target result, or both are expressed, as well as whether a mentioned result is affirmed or negated. A response that affirms the target result in a zero-result event would indicate that the speaker described an unattained result as attained.</w:t>
      </w:r>
    </w:p>
    <w:bookmarkEnd w:id="23"/>
    <w:bookmarkStart w:id="24" w:name="the-present-study"/>
    <w:p>
      <w:pPr>
        <w:pStyle w:val="Heading2"/>
      </w:pPr>
      <w:r>
        <w:t xml:space="preserve">1.5 The Present Study</w:t>
      </w:r>
    </w:p>
    <w:p>
      <w:pPr>
        <w:pStyle w:val="FirstParagraph"/>
      </w:pPr>
      <w:r>
        <w:t xml:space="preserve">The study comprises a comprehension experiment and an elicited-production experiment with independent samples of 4-year-olds, 5-year-olds, and adults. Both use the same 40 videos: ten pairs of actions, each pair sharing an object and a target result, with each action filmed in a full-result and a zero-result version. In each pair, one V1–object expression was selected as expected to be more strongly associated with the target result than the other (e.g.,</w:t>
      </w:r>
      <w:r>
        <w:t xml:space="preserve"> </w:t>
      </w:r>
      <w:r>
        <w:rPr>
          <w:iCs/>
          <w:i/>
        </w:rPr>
        <w:t xml:space="preserve">bāo</w:t>
      </w:r>
      <w:r>
        <w:t xml:space="preserve"> </w:t>
      </w:r>
      <w:r>
        <w:t xml:space="preserve">“</w:t>
      </w:r>
      <w:r>
        <w:t xml:space="preserve">peel</w:t>
      </w:r>
      <w:r>
        <w:t xml:space="preserve">”</w:t>
      </w:r>
      <w:r>
        <w:t xml:space="preserve"> </w:t>
      </w:r>
      <w:r>
        <w:t xml:space="preserve">vs. </w:t>
      </w:r>
      <w:r>
        <w:rPr>
          <w:iCs/>
          <w:i/>
        </w:rPr>
        <w:t xml:space="preserve">niē</w:t>
      </w:r>
      <w:r>
        <w:t xml:space="preserve"> </w:t>
      </w:r>
      <w:r>
        <w:t xml:space="preserve">“</w:t>
      </w:r>
      <w:r>
        <w:t xml:space="preserve">squeeze</w:t>
      </w:r>
      <w:r>
        <w:t xml:space="preserve">”</w:t>
      </w:r>
      <w:r>
        <w:t xml:space="preserve"> </w:t>
      </w:r>
      <w:r>
        <w:t xml:space="preserve">a lychee, with the target result</w:t>
      </w:r>
      <w:r>
        <w:t xml:space="preserve"> </w:t>
      </w:r>
      <w:r>
        <w:rPr>
          <w:iCs/>
          <w:i/>
        </w:rPr>
        <w:t xml:space="preserve">kāi</w:t>
      </w:r>
      <w:r>
        <w:t xml:space="preserve"> </w:t>
      </w:r>
      <w:r>
        <w:t xml:space="preserve">“</w:t>
      </w:r>
      <w:r>
        <w:t xml:space="preserve">open</w:t>
      </w:r>
      <w:r>
        <w:t xml:space="preserve">”</w:t>
      </w:r>
      <w:r>
        <w:t xml:space="preserve">), so that the 20 expressions form two sets of ten. Adult ratings of result likelihood and action typicality characterize how the members of each pair differ and how large that difference is.</w:t>
      </w:r>
    </w:p>
    <w:p>
      <w:pPr>
        <w:pStyle w:val="BodyText"/>
      </w:pPr>
      <w:r>
        <w:rPr>
          <w:bCs/>
          <w:b/>
        </w:rPr>
        <w:t xml:space="preserve">Experiment 1</w:t>
      </w:r>
      <w:r>
        <w:t xml:space="preserve"> </w:t>
      </w:r>
      <w:r>
        <w:t xml:space="preserve">tests children’s interpretation of RVC and V1 descriptions in a yes–no judgment task, in which acceptance serves as the measure of interpretation. It asks two questions.</w:t>
      </w:r>
    </w:p>
    <w:p>
      <w:pPr>
        <w:pStyle w:val="BodyText"/>
      </w:pPr>
      <w:r>
        <w:rPr>
          <w:iCs/>
          <w:i/>
        </w:rPr>
        <w:t xml:space="preserve">RQ1.</w:t>
      </w:r>
      <w:r>
        <w:t xml:space="preserve"> </w:t>
      </w:r>
      <w:r>
        <w:t xml:space="preserve">Do children interpret V1 and RVC descriptions differently with respect to the target result, as indexed by whether acceptance of the two forms differs between full-result and zero-result events?</w:t>
      </w:r>
    </w:p>
    <w:p>
      <w:pPr>
        <w:pStyle w:val="BodyText"/>
      </w:pPr>
      <w:r>
        <w:rPr>
          <w:iCs/>
          <w:i/>
        </w:rPr>
        <w:t xml:space="preserve">RQ2.</w:t>
      </w:r>
      <w:r>
        <w:t xml:space="preserve"> </w:t>
      </w:r>
      <w:r>
        <w:t xml:space="preserve">Within pairs matched for object and target result, does children’s acceptance of V1 descriptions vary with adults’ continuous ratings of (a) result likelihood and (b) action typicality? Because the two ratings are correlated, each is tested separately, and the study then asks whether either explains additional variation after the other is taken into account, rather than assuming in advance that children’s judgments reflect likelihood alone.</w:t>
      </w:r>
    </w:p>
    <w:p>
      <w:pPr>
        <w:pStyle w:val="BodyText"/>
      </w:pPr>
      <w:r>
        <w:t xml:space="preserve">RVC descriptions are expected to be accepted for full-result and rejected for zero-result events, although children may accept some RVC descriptions of zero-result events (J. Liu et al., 2026). V1 descriptions are expected to be accepted less often in zero-result than in full-result events, but this difference should be smaller than for RVCs if children do not treat V1 as encoding the result (contrary to account a). Because 4-year-olds fall between the age groups tested by J. Liu et al. (2026), no directional prediction is made about whether the contrast between the forms differs between 4- and 5-year-olds. If children’s judgments track result likelihood (accounts b and c), acceptance of V1 descriptions in zero-result events should decrease as within-pair likelihood increases, and this association should be weaker in full-result events. If they track typicality (account d), the corresponding pattern should hold for typicality. No directional prediction is made about which rating, if either, explains variation beyond the other.</w:t>
      </w:r>
    </w:p>
    <w:p>
      <w:pPr>
        <w:pStyle w:val="BodyText"/>
      </w:pPr>
      <w:r>
        <w:rPr>
          <w:bCs/>
          <w:b/>
        </w:rPr>
        <w:t xml:space="preserve">Experiment 2</w:t>
      </w:r>
      <w:r>
        <w:t xml:space="preserve"> </w:t>
      </w:r>
      <w:r>
        <w:t xml:space="preserve">examines how children describe the same events in an open-ended video-description task. It first asks whether realization of the target result affects whether children include an RVC in their descriptions. Within responses that contain only monomorphemic verbs and do not mention other results, it then asks whether children express the action only, the target result only, or both in separate predicates. Whether a mentioned target result is affirmed or negated is coded separately. Full-result events are expected to elicit more RVCs than zero-result events, because an absent result is expressed only if the speaker chooses to deny it. The likelihood and typicality ratings are not used as primary predictors in Experiment 2: they were collected for specified V1–object expressions, whereas the production task supplies no expression and the videos were not rated on these dimensions.</w:t>
      </w:r>
    </w:p>
    <w:p>
      <w:pPr>
        <w:pStyle w:val="BodyText"/>
      </w:pPr>
      <w:r>
        <w:t xml:space="preserve">Because the two experiments use independent samples and different response demands, they provide complementary evidence about how children interpret and express actions and results, but they do not test a within-child relation between comprehension and production, and comparisons across tasks remain descriptive.</w:t>
      </w:r>
    </w:p>
    <w:bookmarkEnd w:id="24"/>
    <w:bookmarkEnd w:id="25"/>
    <w:bookmarkStart w:id="26" w:name="references-cited-in-the-introduction"/>
    <w:p>
      <w:pPr>
        <w:pStyle w:val="Heading1"/>
      </w:pPr>
      <w:r>
        <w:t xml:space="preserve">References (cited in the Introduction)</w:t>
      </w:r>
    </w:p>
    <w:p>
      <w:pPr>
        <w:pStyle w:val="FirstParagraph"/>
      </w:pPr>
      <w:r>
        <w:rPr>
          <w:iCs/>
          <w:i/>
        </w:rPr>
        <w:t xml:space="preserve">Entries marked ⟦待核⟧ have details that could not be confirmed against the published source.</w:t>
      </w:r>
    </w:p>
    <w:p>
      <w:pPr>
        <w:pStyle w:val="BodyText"/>
      </w:pPr>
      <w:r>
        <w:t xml:space="preserve">Barsalou, L. W. (1985). Ideals, central tendency, and frequency of instantiation as determinants of graded structure in categories.</w:t>
      </w:r>
      <w:r>
        <w:t xml:space="preserve"> </w:t>
      </w:r>
      <w:r>
        <w:rPr>
          <w:iCs/>
          <w:i/>
        </w:rPr>
        <w:t xml:space="preserve">Journal of Experimental Psychology: Learning, Memory, and Cognition, 11</w:t>
      </w:r>
      <w:r>
        <w:t xml:space="preserve">(4), 629–654. https://doi.org/10.1037/0278-7393.11.1-4.629</w:t>
      </w:r>
    </w:p>
    <w:p>
      <w:pPr>
        <w:pStyle w:val="BodyText"/>
      </w:pPr>
      <w:r>
        <w:t xml:space="preserve">Bicknell, K., Elman, J. L., Hare, M., McRae, K., &amp; Kutas, M. (2010). Effects of event knowledge in processing verbal arguments.</w:t>
      </w:r>
      <w:r>
        <w:t xml:space="preserve"> </w:t>
      </w:r>
      <w:r>
        <w:rPr>
          <w:iCs/>
          <w:i/>
        </w:rPr>
        <w:t xml:space="preserve">Journal of Memory and Language, 63</w:t>
      </w:r>
      <w:r>
        <w:t xml:space="preserve">(4), 489–505. https://doi.org/10.1016/j.jml.2010.08.004</w:t>
      </w:r>
    </w:p>
    <w:p>
      <w:pPr>
        <w:pStyle w:val="BodyText"/>
      </w:pPr>
      <w:r>
        <w:t xml:space="preserve">Chen, J. (2008).</w:t>
      </w:r>
      <w:r>
        <w:t xml:space="preserve"> </w:t>
      </w:r>
      <w:r>
        <w:rPr>
          <w:iCs/>
          <w:i/>
        </w:rPr>
        <w:t xml:space="preserve">The acquisition of verb compounding in Mandarin Chinese</w:t>
      </w:r>
      <w:r>
        <w:t xml:space="preserve"> </w:t>
      </w:r>
      <w:r>
        <w:t xml:space="preserve">[Doctoral dissertation, Vrije Universiteit Amsterdam]. LOT.</w:t>
      </w:r>
    </w:p>
    <w:p>
      <w:pPr>
        <w:pStyle w:val="BodyText"/>
      </w:pPr>
      <w:r>
        <w:t xml:space="preserve">Chen, J. (2017). When transparency doesn’t mean ease: Learning the meaning of resultative verb compounds in Mandarin Chinese.</w:t>
      </w:r>
      <w:r>
        <w:t xml:space="preserve"> </w:t>
      </w:r>
      <w:r>
        <w:rPr>
          <w:iCs/>
          <w:i/>
        </w:rPr>
        <w:t xml:space="preserve">Journal of Child Language, 44</w:t>
      </w:r>
      <w:r>
        <w:t xml:space="preserve">(3), 695–718. https://doi.org/10.1017/S0305000916000192</w:t>
      </w:r>
    </w:p>
    <w:p>
      <w:pPr>
        <w:pStyle w:val="BodyText"/>
      </w:pPr>
      <w:r>
        <w:t xml:space="preserve">Chen, J. (2018).</w:t>
      </w:r>
      <w:r>
        <w:t xml:space="preserve"> </w:t>
      </w:r>
      <w:r>
        <w:t xml:space="preserve">“</w:t>
      </w:r>
      <w:r>
        <w:t xml:space="preserve">He killed a chicken, but it didn’t die</w:t>
      </w:r>
      <w:r>
        <w:t xml:space="preserve">”</w:t>
      </w:r>
      <w:r>
        <w:t xml:space="preserve">: An empirical study of the lexicalization of state change in Mandarin monomorphemic verbs.</w:t>
      </w:r>
      <w:r>
        <w:t xml:space="preserve"> </w:t>
      </w:r>
      <w:r>
        <w:rPr>
          <w:iCs/>
          <w:i/>
        </w:rPr>
        <w:t xml:space="preserve">Chinese Language and Discourse, 9</w:t>
      </w:r>
      <w:r>
        <w:t xml:space="preserve">(2), 136–161. https://doi.org/10.1075/cld.17007.che</w:t>
      </w:r>
    </w:p>
    <w:p>
      <w:pPr>
        <w:pStyle w:val="BodyText"/>
      </w:pPr>
      <w:r>
        <w:t xml:space="preserve">Deng, X. (2019). The acquisition of resultative verb compounds in Mandarin Chinese.</w:t>
      </w:r>
      <w:r>
        <w:t xml:space="preserve"> </w:t>
      </w:r>
      <w:r>
        <w:rPr>
          <w:iCs/>
          <w:i/>
        </w:rPr>
        <w:t xml:space="preserve">Journal of Chinese Linguistics, 47</w:t>
      </w:r>
      <w:r>
        <w:t xml:space="preserve">(1), 42–81. https://doi.org/10.1353/jcl.2019.0002</w:t>
      </w:r>
    </w:p>
    <w:p>
      <w:pPr>
        <w:pStyle w:val="BodyText"/>
      </w:pPr>
      <w:r>
        <w:t xml:space="preserve">Han, P. (2021). Reanalyzing Mandarin V1–V2 resultative constructions—A force-theoretic approach.</w:t>
      </w:r>
      <w:r>
        <w:t xml:space="preserve"> </w:t>
      </w:r>
      <w:r>
        <w:rPr>
          <w:iCs/>
          <w:i/>
        </w:rPr>
        <w:t xml:space="preserve">Canadian Journal of Linguistics/Revue canadienne de linguistique, 66</w:t>
      </w:r>
      <w:r>
        <w:t xml:space="preserve">(2), 191–222 ⟦待核：页码⟧. https://doi.org/10.1017/cnj.2021.11</w:t>
      </w:r>
    </w:p>
    <w:p>
      <w:pPr>
        <w:pStyle w:val="BodyText"/>
      </w:pPr>
      <w:r>
        <w:t xml:space="preserve">Hsu, N., Rispoli, M., &amp; Hadley, P. A. (2019). Mastering the grammar of complex events: Evidence from Mandarin resultative verb compounds.</w:t>
      </w:r>
      <w:r>
        <w:t xml:space="preserve"> </w:t>
      </w:r>
      <w:r>
        <w:rPr>
          <w:iCs/>
          <w:i/>
        </w:rPr>
        <w:t xml:space="preserve">Language Learning and Development, 15</w:t>
      </w:r>
      <w:r>
        <w:t xml:space="preserve">(3), 255–277. https://doi.org/10.1080/15475441.2019.1590204</w:t>
      </w:r>
    </w:p>
    <w:p>
      <w:pPr>
        <w:pStyle w:val="BodyText"/>
      </w:pPr>
      <w:r>
        <w:t xml:space="preserve">Huang, C.-T. J. (2006). Resultatives and unaccusatives: A parametric view.</w:t>
      </w:r>
      <w:r>
        <w:t xml:space="preserve"> </w:t>
      </w:r>
      <w:r>
        <w:rPr>
          <w:iCs/>
          <w:i/>
        </w:rPr>
        <w:t xml:space="preserve">Bulletin of the Chinese Linguistic Society of Japan, 2006</w:t>
      </w:r>
      <w:r>
        <w:t xml:space="preserve">(253), 1–43. https://doi.org/10.7131/chuugokugogaku.2006.1</w:t>
      </w:r>
    </w:p>
    <w:p>
      <w:pPr>
        <w:pStyle w:val="BodyText"/>
      </w:pPr>
      <w:r>
        <w:t xml:space="preserve">Katsos, N., &amp; Bishop, D. V. M. (2011). Pragmatic tolerance: Implications for the acquisition of informativeness and implicature.</w:t>
      </w:r>
      <w:r>
        <w:t xml:space="preserve"> </w:t>
      </w:r>
      <w:r>
        <w:rPr>
          <w:iCs/>
          <w:i/>
        </w:rPr>
        <w:t xml:space="preserve">Cognition, 120</w:t>
      </w:r>
      <w:r>
        <w:t xml:space="preserve">(1), 67–81. https://doi.org/10.1016/j.cognition.2011.02.015</w:t>
      </w:r>
    </w:p>
    <w:p>
      <w:pPr>
        <w:pStyle w:val="BodyText"/>
      </w:pPr>
      <w:r>
        <w:t xml:space="preserve">Kim, S., &amp; Murphy, G. L. (2011). Ideals and category typicality.</w:t>
      </w:r>
      <w:r>
        <w:t xml:space="preserve"> </w:t>
      </w:r>
      <w:r>
        <w:rPr>
          <w:iCs/>
          <w:i/>
        </w:rPr>
        <w:t xml:space="preserve">Journal of Experimental Psychology: Learning, Memory, and Cognition, 37</w:t>
      </w:r>
      <w:r>
        <w:t xml:space="preserve">(5), 1092–1112. https://doi.org/10.1037/a0023916</w:t>
      </w:r>
    </w:p>
    <w:p>
      <w:pPr>
        <w:pStyle w:val="BodyText"/>
      </w:pPr>
      <w:r>
        <w:t xml:space="preserve">Kou, X., &amp; Hohenstein, J. (2022). Fulfillment types in Realization events: Definition, distinctions, and diagnostics.</w:t>
      </w:r>
      <w:r>
        <w:t xml:space="preserve"> </w:t>
      </w:r>
      <w:r>
        <w:rPr>
          <w:iCs/>
          <w:i/>
        </w:rPr>
        <w:t xml:space="preserve">Lingua, 269</w:t>
      </w:r>
      <w:r>
        <w:t xml:space="preserve">, Article 103204. https://doi.org/10.1016/j.lingua.2021.103204</w:t>
      </w:r>
    </w:p>
    <w:p>
      <w:pPr>
        <w:pStyle w:val="BodyText"/>
      </w:pPr>
      <w:r>
        <w:t xml:space="preserve">Kou, X., &amp; Hohenstein, J. (2024). Manner, result, and intention: Implications for event typology from a cognitive account of verb semantics based on fulfilment types.</w:t>
      </w:r>
      <w:r>
        <w:t xml:space="preserve"> </w:t>
      </w:r>
      <w:r>
        <w:rPr>
          <w:iCs/>
          <w:i/>
        </w:rPr>
        <w:t xml:space="preserve">Language and Cognition, 16</w:t>
      </w:r>
      <w:r>
        <w:t xml:space="preserve">(4), 1053–1078. https://doi.org/10.1017/langcog.2023.72</w:t>
      </w:r>
    </w:p>
    <w:p>
      <w:pPr>
        <w:pStyle w:val="BodyText"/>
      </w:pPr>
      <w:r>
        <w:t xml:space="preserve">Li, C. N., &amp; Thompson, S. A. (1981).</w:t>
      </w:r>
      <w:r>
        <w:t xml:space="preserve"> </w:t>
      </w:r>
      <w:r>
        <w:rPr>
          <w:iCs/>
          <w:i/>
        </w:rPr>
        <w:t xml:space="preserve">Mandarin Chinese: A functional reference grammar</w:t>
      </w:r>
      <w:r>
        <w:t xml:space="preserve">. University of California Press.</w:t>
      </w:r>
    </w:p>
    <w:p>
      <w:pPr>
        <w:pStyle w:val="BodyText"/>
      </w:pPr>
      <w:r>
        <w:t xml:space="preserve">Li, P., &amp; Bowerman, M. (1998). The acquisition of lexical and grammatical aspect in Chinese.</w:t>
      </w:r>
      <w:r>
        <w:t xml:space="preserve"> </w:t>
      </w:r>
      <w:r>
        <w:rPr>
          <w:iCs/>
          <w:i/>
        </w:rPr>
        <w:t xml:space="preserve">First Language, 18</w:t>
      </w:r>
      <w:r>
        <w:t xml:space="preserve">(54), 311–350. https://doi.org/10.1177/014272379801805404</w:t>
      </w:r>
    </w:p>
    <w:p>
      <w:pPr>
        <w:pStyle w:val="BodyText"/>
      </w:pPr>
      <w:r>
        <w:t xml:space="preserve">Li, Y. (1990). On V-V compounds in Chinese.</w:t>
      </w:r>
      <w:r>
        <w:t xml:space="preserve"> </w:t>
      </w:r>
      <w:r>
        <w:rPr>
          <w:iCs/>
          <w:i/>
        </w:rPr>
        <w:t xml:space="preserve">Natural Language &amp; Linguistic Theory, 8</w:t>
      </w:r>
      <w:r>
        <w:t xml:space="preserve">(2), 177–207. https://doi.org/10.1007/BF00208523</w:t>
      </w:r>
    </w:p>
    <w:p>
      <w:pPr>
        <w:pStyle w:val="BodyText"/>
      </w:pPr>
      <w:r>
        <w:t xml:space="preserve">Li, Y. (1995). The thematic hierarchy and causativity.</w:t>
      </w:r>
      <w:r>
        <w:t xml:space="preserve"> </w:t>
      </w:r>
      <w:r>
        <w:rPr>
          <w:iCs/>
          <w:i/>
        </w:rPr>
        <w:t xml:space="preserve">Natural Language &amp; Linguistic Theory, 13</w:t>
      </w:r>
      <w:r>
        <w:t xml:space="preserve">(2), 255–282. https://doi.org/10.1007/BF00992783</w:t>
      </w:r>
    </w:p>
    <w:p>
      <w:pPr>
        <w:pStyle w:val="BodyText"/>
      </w:pPr>
      <w:r>
        <w:t xml:space="preserve">Liu, J. (2018).</w:t>
      </w:r>
      <w:r>
        <w:t xml:space="preserve"> </w:t>
      </w:r>
      <w:r>
        <w:rPr>
          <w:iCs/>
          <w:i/>
        </w:rPr>
        <w:t xml:space="preserve">(Non-culminating) accomplishments in child and adult Mandarin</w:t>
      </w:r>
      <w:r>
        <w:t xml:space="preserve"> </w:t>
      </w:r>
      <w:r>
        <w:t xml:space="preserve">[Doctoral dissertation, Université de Nantes] ⟦待核：题名与链接；theses.fr 未检索到⟧.</w:t>
      </w:r>
    </w:p>
    <w:p>
      <w:pPr>
        <w:pStyle w:val="BodyText"/>
      </w:pPr>
      <w:r>
        <w:t xml:space="preserve">Liu, J., van Hout, A., &amp; Demirdache, H. (2026). Mandarin children’s acquisition of event culmination.</w:t>
      </w:r>
      <w:r>
        <w:t xml:space="preserve"> </w:t>
      </w:r>
      <w:r>
        <w:rPr>
          <w:iCs/>
          <w:i/>
        </w:rPr>
        <w:t xml:space="preserve">Languages, 11</w:t>
      </w:r>
      <w:r>
        <w:t xml:space="preserve">(9), Article 190. https://doi.org/10.3390/languages11090190</w:t>
      </w:r>
    </w:p>
    <w:p>
      <w:pPr>
        <w:pStyle w:val="BodyText"/>
      </w:pPr>
      <w:r>
        <w:t xml:space="preserve">Ma, W., Golinkoff, R. M., Song, L., &amp; Hirsh-Pasek, K. (2021). Using verb extension to gauge children’s verb meaning construals: The case of Chinese.</w:t>
      </w:r>
      <w:r>
        <w:t xml:space="preserve"> </w:t>
      </w:r>
      <w:r>
        <w:rPr>
          <w:iCs/>
          <w:i/>
        </w:rPr>
        <w:t xml:space="preserve">Frontiers in Psychology, 11</w:t>
      </w:r>
      <w:r>
        <w:t xml:space="preserve">, Article 572198. https://doi.org/10.3389/fpsyg.2020.572198</w:t>
      </w:r>
    </w:p>
    <w:p>
      <w:pPr>
        <w:pStyle w:val="BodyText"/>
      </w:pPr>
      <w:r>
        <w:t xml:space="preserve">Martin, F., Sun, H., Liu, J., &amp; Demirdache, H. (2023). On the zero-change construal of causative simple verbs in Mandarin Chinese. In P. Liu, E. Sjovall, X. Sun, P. Berezovskaya, &amp; V. Hohaus (Eds.),</w:t>
      </w:r>
      <w:r>
        <w:t xml:space="preserve"> </w:t>
      </w:r>
      <w:r>
        <w:rPr>
          <w:iCs/>
          <w:i/>
        </w:rPr>
        <w:t xml:space="preserve">Proceedings of TripleA 7</w:t>
      </w:r>
      <w:r>
        <w:t xml:space="preserve">. Universität Tübingen. ⟦待核：页码；工作坊 2020 年举办，论文集 2023 年出版⟧</w:t>
      </w:r>
    </w:p>
    <w:p>
      <w:pPr>
        <w:pStyle w:val="BodyText"/>
      </w:pPr>
      <w:r>
        <w:t xml:space="preserve">McRae, K., &amp; Matsuki, K. (2009). People use their knowledge of common events to understand language, and do so as quickly as possible.</w:t>
      </w:r>
      <w:r>
        <w:t xml:space="preserve"> </w:t>
      </w:r>
      <w:r>
        <w:rPr>
          <w:iCs/>
          <w:i/>
        </w:rPr>
        <w:t xml:space="preserve">Language and Linguistics Compass, 3</w:t>
      </w:r>
      <w:r>
        <w:t xml:space="preserve">(6), 1417–1429. https://doi.org/10.1111/j.1749-818X.2009.00174.x</w:t>
      </w:r>
    </w:p>
    <w:p>
      <w:pPr>
        <w:pStyle w:val="BodyText"/>
      </w:pPr>
      <w:r>
        <w:t xml:space="preserve">Papafragou, A., &amp; Musolino, J. (2003). Scalar implicatures: Experiments at the semantics–pragmatics interface.</w:t>
      </w:r>
      <w:r>
        <w:t xml:space="preserve"> </w:t>
      </w:r>
      <w:r>
        <w:rPr>
          <w:iCs/>
          <w:i/>
        </w:rPr>
        <w:t xml:space="preserve">Cognition, 86</w:t>
      </w:r>
      <w:r>
        <w:t xml:space="preserve">(3), 253–282. https://doi.org/10.1016/S0010-0277(02)00179-8</w:t>
      </w:r>
    </w:p>
    <w:p>
      <w:pPr>
        <w:pStyle w:val="BodyText"/>
      </w:pPr>
      <w:r>
        <w:t xml:space="preserve">Skordos, D., &amp; Papafragou, A. (2016). Children’s derivation of scalar implicatures: Alternatives and relevance.</w:t>
      </w:r>
      <w:r>
        <w:t xml:space="preserve"> </w:t>
      </w:r>
      <w:r>
        <w:rPr>
          <w:iCs/>
          <w:i/>
        </w:rPr>
        <w:t xml:space="preserve">Cognition, 153</w:t>
      </w:r>
      <w:r>
        <w:t xml:space="preserve">, 6–18. https://doi.org/10.1016/j.cognition.2016.04.006 ⟦待核：DOI⟧</w:t>
      </w:r>
    </w:p>
    <w:p>
      <w:pPr>
        <w:pStyle w:val="BodyText"/>
      </w:pPr>
      <w:r>
        <w:t xml:space="preserve">Sybesma, R. (1999).</w:t>
      </w:r>
      <w:r>
        <w:t xml:space="preserve"> </w:t>
      </w:r>
      <w:r>
        <w:rPr>
          <w:iCs/>
          <w:i/>
        </w:rPr>
        <w:t xml:space="preserve">The Mandarin VP</w:t>
      </w:r>
      <w:r>
        <w:t xml:space="preserve">. Kluwer Academic Publishers.</w:t>
      </w:r>
    </w:p>
    <w:p>
      <w:pPr>
        <w:pStyle w:val="BodyText"/>
      </w:pPr>
      <w:r>
        <w:t xml:space="preserve">Tai, J. H.-Y. (1984). Verbs and times in Chinese: Vendler’s four categories. In D. Testen, V. Mishra, &amp; J. Drogo (Eds.),</w:t>
      </w:r>
      <w:r>
        <w:t xml:space="preserve"> </w:t>
      </w:r>
      <w:r>
        <w:rPr>
          <w:iCs/>
          <w:i/>
        </w:rPr>
        <w:t xml:space="preserve">Papers from the Parasession on Lexical Semantics</w:t>
      </w:r>
      <w:r>
        <w:t xml:space="preserve"> </w:t>
      </w:r>
      <w:r>
        <w:t xml:space="preserve">(pp. 289–296). Chicago Linguistic Society. ⟦待核：题名 time/times⟧</w:t>
      </w:r>
    </w:p>
    <w:p>
      <w:pPr>
        <w:pStyle w:val="BodyText"/>
      </w:pPr>
      <w:r>
        <w:t xml:space="preserve">Talmy, L. (1991). Path to realization: A typology of event conflation.</w:t>
      </w:r>
      <w:r>
        <w:t xml:space="preserve"> </w:t>
      </w:r>
      <w:r>
        <w:rPr>
          <w:iCs/>
          <w:i/>
        </w:rPr>
        <w:t xml:space="preserve">Proceedings of the Annual Meeting of the Berkeley Linguistics Society, 17</w:t>
      </w:r>
      <w:r>
        <w:t xml:space="preserve">, 480–519. https://doi.org/10.3765/bls.v17i0.1620</w:t>
      </w:r>
    </w:p>
    <w:p>
      <w:pPr>
        <w:pStyle w:val="BodyText"/>
      </w:pPr>
      <w:r>
        <w:t xml:space="preserve">Talmy, L. (2000).</w:t>
      </w:r>
      <w:r>
        <w:t xml:space="preserve"> </w:t>
      </w:r>
      <w:r>
        <w:rPr>
          <w:iCs/>
          <w:i/>
        </w:rPr>
        <w:t xml:space="preserve">Toward a cognitive semantics: Vol. 2. Typology and process in concept structuring</w:t>
      </w:r>
      <w:r>
        <w:t xml:space="preserve">. MIT Press.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2026-10-14T03:24:01Z</dcterms:created>
  <dcterms:modified xsi:type="dcterms:W3CDTF">2026-10-14T03:24:01Z</dcterms:modified>
</cp:coreProperties>
</file>

<file path=docProps/custom.xml><?xml version="1.0" encoding="utf-8"?>
<Properties xmlns="http://schemas.openxmlformats.org/officeDocument/2006/custom-properties" xmlns:vt="http://schemas.openxmlformats.org/officeDocument/2006/docPropsVTypes"/>
</file>