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EFE52" w14:textId="77777777" w:rsidR="008215DC" w:rsidRDefault="00000000">
      <w:pPr>
        <w:pStyle w:val="Title"/>
      </w:pPr>
      <w:r>
        <w:rPr/>
        <w:t xml:space="preserve">Mandarin-Speaking Children’s Interpretation and Expression of Actions and Results: Evidence </w:t>
      </w:r>
      <w:proofErr w:type="gramStart"/>
      <w:r>
        <w:rPr/>
        <w:t>From</w:t>
      </w:r>
      <w:proofErr w:type="gramEnd"/>
      <w:r>
        <w:rPr/>
        <w:t xml:space="preserve"> Resultative Verb Compounds and Monomorphemic V1s</w:t>
      </w:r>
    </w:p>
    <w:p w14:paraId="35AF5805" w14:textId="77777777" w:rsidR="008215DC" w:rsidRDefault="00000000">
      <w:pPr/>
      <w:r>
        <w:rPr/>
        <w:t xml:space="preserve">Describing an event involves identifying what someone did and whether that action brought about a particular result. Someone can squeeze a lychee without getting it </w:t>
      </w:r>
      <w:proofErr w:type="gramStart"/>
      <w:r>
        <w:rPr/>
        <w:t>open, or</w:t>
      </w:r>
      <w:proofErr w:type="gramEnd"/>
      <w:r>
        <w:rPr/>
        <w:t xml:space="preserve"> wipe a mirror without getting it clean. To talk about such events, children must learn what different expressions commit a speaker to with respect to the result, and which information to express when they describe an event themselves.</w:t>
      </w:r>
    </w:p>
    <w:p w14:paraId="22D0958E" w14:textId="77777777" w:rsidR="008215DC" w:rsidRDefault="00000000">
      <w:pPr/>
      <w:r>
        <w:rPr/>
        <w:t>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 The RVC in (1a) thus states both that she peeled the lychee and that the lychee came open, whereas the V1 alone in (1b) expresses the action but does not itself express that resulting state.</w:t>
      </w:r>
    </w:p>
    <w:p w14:paraId="370624FB" w14:textId="77777777" w:rsidR="008215DC" w:rsidRDefault="00000000">
      <w:pPr>
        <w:pStyle w:val="ExampleFirst"/>
      </w:pPr>
      <w:r>
        <w:rPr/>
        <w:t>(1)</w:t>
      </w:r>
      <w:r>
        <w:rPr/>
        <w:tab/>
        <w:t>a.</w:t>
      </w:r>
      <w:r>
        <w:rPr/>
        <w:tab/>
      </w:r>
      <w:proofErr w:type="spellStart"/>
      <w:r>
        <w:rPr>
          <w:i/>
          <w:iCs/>
        </w:rPr>
        <w:t>Tā</w:t>
      </w:r>
      <w:proofErr w:type="spellEnd"/>
      <w:r>
        <w:rPr>
          <w:i/>
          <w:iCs/>
        </w:rPr>
        <w:t xml:space="preserve"> </w:t>
      </w:r>
      <w:proofErr w:type="spellStart"/>
      <w:r>
        <w:rPr>
          <w:i/>
          <w:iCs/>
        </w:rPr>
        <w:t>bāo</w:t>
      </w:r>
      <w:proofErr w:type="spellEnd"/>
      <w:r>
        <w:rPr>
          <w:i/>
          <w:iCs/>
        </w:rPr>
        <w:t>-</w:t>
      </w:r>
      <w:proofErr w:type="spellStart"/>
      <w:r>
        <w:rPr>
          <w:i/>
          <w:iCs/>
        </w:rPr>
        <w:t>kāi</w:t>
      </w:r>
      <w:proofErr w:type="spellEnd"/>
      <w:r>
        <w:rPr>
          <w:i/>
          <w:iCs/>
        </w:rPr>
        <w:t xml:space="preserve">-le </w:t>
      </w:r>
      <w:proofErr w:type="spellStart"/>
      <w:r>
        <w:rPr>
          <w:i/>
          <w:iCs/>
        </w:rPr>
        <w:t>lìzhī</w:t>
      </w:r>
      <w:proofErr w:type="spellEnd"/>
      <w:r>
        <w:rPr>
          <w:i/>
          <w:iCs/>
        </w:rPr>
        <w:t>.</w:t>
      </w:r>
    </w:p>
    <w:p w14:paraId="01C57419" w14:textId="77777777" w:rsidR="008215DC" w:rsidRDefault="00000000">
      <w:pPr>
        <w:pStyle w:val="Example"/>
      </w:pPr>
      <w:r>
        <w:rPr/>
        <w:tab/>
      </w:r>
      <w:r>
        <w:rPr/>
        <w:tab/>
        <w:t>she peel-open-PERF lychee</w:t>
      </w:r>
    </w:p>
    <w:p w14:paraId="0F039E6E" w14:textId="77777777" w:rsidR="008215DC" w:rsidRDefault="00000000">
      <w:pPr>
        <w:pStyle w:val="Example"/>
      </w:pPr>
      <w:r>
        <w:rPr/>
        <w:tab/>
      </w:r>
      <w:r>
        <w:rPr/>
        <w:tab/>
        <w:t>“She peeled the lychee open.”</w:t>
      </w:r>
    </w:p>
    <w:p w14:paraId="18E1900C" w14:textId="77777777" w:rsidR="008215DC" w:rsidRDefault="00000000">
      <w:pPr>
        <w:pStyle w:val="Example"/>
      </w:pPr>
      <w:r>
        <w:rPr/>
        <w:tab/>
        <w:t>b.</w:t>
      </w:r>
      <w:r>
        <w:rPr/>
        <w:tab/>
      </w:r>
      <w:proofErr w:type="spellStart"/>
      <w:r>
        <w:rPr>
          <w:i/>
          <w:iCs/>
        </w:rPr>
        <w:t>Tā</w:t>
      </w:r>
      <w:proofErr w:type="spellEnd"/>
      <w:r>
        <w:rPr>
          <w:i/>
          <w:iCs/>
        </w:rPr>
        <w:t xml:space="preserve"> </w:t>
      </w:r>
      <w:proofErr w:type="spellStart"/>
      <w:r>
        <w:rPr>
          <w:i/>
          <w:iCs/>
        </w:rPr>
        <w:t>bāo</w:t>
      </w:r>
      <w:proofErr w:type="spellEnd"/>
      <w:r>
        <w:rPr>
          <w:i/>
          <w:iCs/>
        </w:rPr>
        <w:t xml:space="preserve">-le </w:t>
      </w:r>
      <w:proofErr w:type="spellStart"/>
      <w:r>
        <w:rPr>
          <w:i/>
          <w:iCs/>
        </w:rPr>
        <w:t>lìzhī</w:t>
      </w:r>
      <w:proofErr w:type="spellEnd"/>
      <w:r>
        <w:rPr>
          <w:i/>
          <w:iCs/>
        </w:rPr>
        <w:t>.</w:t>
      </w:r>
    </w:p>
    <w:p w14:paraId="205FDBAD" w14:textId="77777777" w:rsidR="008215DC" w:rsidRDefault="00000000">
      <w:pPr>
        <w:pStyle w:val="Example"/>
      </w:pPr>
      <w:r>
        <w:rPr/>
        <w:tab/>
      </w:r>
      <w:r>
        <w:rPr/>
        <w:tab/>
        <w:t>she peel-PERF lychee</w:t>
      </w:r>
    </w:p>
    <w:p w14:paraId="187B41FC" w14:textId="77777777" w:rsidR="008215DC" w:rsidRDefault="00000000">
      <w:pPr>
        <w:pStyle w:val="ExampleLast"/>
      </w:pPr>
      <w:r>
        <w:rPr/>
        <w:tab/>
      </w:r>
      <w:r>
        <w:rPr/>
        <w:tab/>
        <w:t>“She peeled the lychee.”</w:t>
      </w:r>
    </w:p>
    <w:p w14:paraId="4B9F149F" w14:textId="77777777" w:rsidR="008215DC" w:rsidRDefault="00000000">
      <w:pPr/>
      <w:r>
        <w:rPr/>
        <w:t xml:space="preserve">For many Mandarin monomorphemic verbs, the result is not entailed. Tai (1984) observed that </w:t>
      </w:r>
      <w:proofErr w:type="spellStart"/>
      <w:r>
        <w:rPr>
          <w:i/>
          <w:iCs/>
        </w:rPr>
        <w:t>shā</w:t>
      </w:r>
      <w:proofErr w:type="spellEnd"/>
      <w:r>
        <w:rPr/>
        <w:t xml:space="preserve"> “kill” can be used of an event in which the victim did not die, whereas the corresponding RVC </w:t>
      </w:r>
      <w:proofErr w:type="spellStart"/>
      <w:r>
        <w:rPr>
          <w:i/>
          <w:iCs/>
        </w:rPr>
        <w:t>shā-sǐ</w:t>
      </w:r>
      <w:proofErr w:type="spellEnd"/>
      <w:r>
        <w:rPr/>
        <w:t xml:space="preserve"> “kill-dead” cannot, and </w:t>
      </w:r>
      <w:proofErr w:type="spellStart"/>
      <w:r>
        <w:rPr/>
        <w:t>Talmy</w:t>
      </w:r>
      <w:proofErr w:type="spellEnd"/>
      <w:r>
        <w:rPr/>
        <w:t xml:space="preserve"> (1991, 2000) identified verbs of this kind, whose result is implied but can be cancelled, as a major type in Mandarin. As (2a) shows, the result of a monomorphemic V1 can be explicitly denied, whereas denying the result of the corresponding RVC, as in (2b), is contradictory. A listener who hears a V1 description may </w:t>
      </w:r>
      <w:proofErr w:type="gramStart"/>
      <w:r>
        <w:rPr/>
        <w:lastRenderedPageBreak/>
        <w:t>nevertheless</w:t>
      </w:r>
      <w:proofErr w:type="gramEnd"/>
      <w:r>
        <w:rPr/>
        <w:t xml:space="preserve"> infer that the result was attained, that is, that the event </w:t>
      </w:r>
      <w:r>
        <w:rPr>
          <w:i/>
          <w:iCs/>
        </w:rPr>
        <w:t>culminated</w:t>
      </w:r>
      <w:r>
        <w:rPr/>
        <w:t>. Because this culmination inference is not entailed, it can be cancelled by further information (J. Liu et al., 2026).</w:t>
      </w:r>
      <w:r>
        <w:rPr>
          <w:rStyle w:val="FootnoteReference"/>
        </w:rPr>
        <w:footnoteReference w:id="1"/>
      </w:r>
      <w:r>
        <w:rPr/>
        <w:t xml:space="preserve"> RVCs and their V1s therefore differ in whether the result is entailed or only inferred, and this difference becomes observable when an action is performed but its result is not attained.</w:t>
      </w:r>
    </w:p>
    <w:p w14:paraId="30E6FAD1" w14:textId="77777777" w:rsidR="008215DC" w:rsidRDefault="00000000">
      <w:pPr>
        <w:pStyle w:val="ExampleFirst"/>
      </w:pPr>
      <w:r>
        <w:rPr/>
        <w:t>(2)</w:t>
      </w:r>
      <w:r>
        <w:rPr/>
        <w:tab/>
        <w:t>a.</w:t>
      </w:r>
      <w:r>
        <w:rPr/>
        <w:tab/>
      </w:r>
      <w:proofErr w:type="spellStart"/>
      <w:r>
        <w:rPr>
          <w:i/>
          <w:iCs/>
        </w:rPr>
        <w:t>Tā</w:t>
      </w:r>
      <w:proofErr w:type="spellEnd"/>
      <w:r>
        <w:rPr>
          <w:i/>
          <w:iCs/>
        </w:rPr>
        <w:t xml:space="preserve"> </w:t>
      </w:r>
      <w:proofErr w:type="spellStart"/>
      <w:r>
        <w:rPr>
          <w:i/>
          <w:iCs/>
        </w:rPr>
        <w:t>xiū</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283102B6" w14:textId="77777777" w:rsidR="008215DC" w:rsidRDefault="00000000">
      <w:pPr>
        <w:pStyle w:val="Example"/>
      </w:pPr>
      <w:r>
        <w:rPr/>
        <w:tab/>
      </w:r>
      <w:r>
        <w:rPr/>
        <w:tab/>
        <w:t>he fix-PERF computer but NEG fix-good</w:t>
      </w:r>
    </w:p>
    <w:p w14:paraId="7B41D156" w14:textId="77777777" w:rsidR="008215DC" w:rsidRDefault="00000000">
      <w:pPr>
        <w:pStyle w:val="Example"/>
      </w:pPr>
      <w:r>
        <w:rPr/>
        <w:tab/>
      </w:r>
      <w:r>
        <w:rPr/>
        <w:tab/>
        <w:t>“He fixed the computer, but it is still not working.”</w:t>
      </w:r>
    </w:p>
    <w:p w14:paraId="2708CC8D" w14:textId="77777777" w:rsidR="008215DC" w:rsidRDefault="00000000">
      <w:pPr>
        <w:pStyle w:val="Example"/>
      </w:pPr>
      <w:r>
        <w:rPr/>
        <w:tab/>
        <w:t>b.</w:t>
      </w:r>
      <w:r>
        <w:rPr/>
        <w:tab/>
      </w:r>
      <w:r>
        <w:rPr>
          <w:i/>
          <w:iCs/>
        </w:rPr>
        <w:t xml:space="preserve">#Tā </w:t>
      </w:r>
      <w:proofErr w:type="spellStart"/>
      <w:r>
        <w:rPr>
          <w:i/>
          <w:iCs/>
        </w:rPr>
        <w:t>xiū</w:t>
      </w:r>
      <w:proofErr w:type="spellEnd"/>
      <w:r>
        <w:rPr>
          <w:i/>
          <w:iCs/>
        </w:rPr>
        <w:t>-</w:t>
      </w:r>
      <w:proofErr w:type="spellStart"/>
      <w:r>
        <w:rPr>
          <w:i/>
          <w:iCs/>
        </w:rPr>
        <w:t>hǎo</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179BFDE3" w14:textId="77777777" w:rsidR="008215DC" w:rsidRDefault="00000000">
      <w:pPr>
        <w:pStyle w:val="Example"/>
      </w:pPr>
      <w:r>
        <w:rPr/>
        <w:tab/>
      </w:r>
      <w:r>
        <w:rPr/>
        <w:tab/>
        <w:t>he fix-good-PERF computer but NEG fix-good</w:t>
      </w:r>
    </w:p>
    <w:p w14:paraId="5667BDF0" w14:textId="77777777" w:rsidR="008215DC" w:rsidRDefault="00000000">
      <w:pPr>
        <w:pStyle w:val="ExampleLast"/>
      </w:pPr>
      <w:r>
        <w:rPr/>
        <w:tab/>
      </w:r>
      <w:r>
        <w:rPr/>
        <w:tab/>
        <w:t>“#He fixed the computer so that it worked, but it is still not working.”</w:t>
      </w:r>
    </w:p>
    <w:p w14:paraId="64EE7D2C" w14:textId="77777777" w:rsidR="008215DC" w:rsidRDefault="00000000">
      <w:pPr/>
      <w:r>
        <w:rPr/>
        <w:t>Can Mandarin-speaking children distinguish RVCs from their V1s in this respect? Children produce RVCs early, although their command of RVC event structure develops gradually (Chen, 2008; Deng, 2019), and by around 5 years of age they treat RVCs as requiring the result in comprehension (J. Liu et al., 2026). Their interpretation of the corresponding V1s, however, is less adult-like: Children have difficulty unpacking the meanings of the individual verbs in RVCs (Chen, 2017) and judge V1 descriptions of events without the result more strictly than adults do (J. Liu et al., 2026). This pattern raises the question of how children interpret monomorphemic V1s, and it cannot be answered by contrasting V1s with RVCs alone, because adults’ result-related interpretations also vary across monomorphemic verbs (Chen, 2018). Whether a child accepts a V1 description of an unattained result may therefore depend on which V1 is used and on how the action it names is related to the result in question.</w:t>
      </w:r>
    </w:p>
    <w:p w14:paraId="2C44EAC9" w14:textId="576C424A" w:rsidR="008215DC" w:rsidRDefault="00000000">
      <w:pPr/>
      <w:r>
        <w:rPr/>
        <w:lastRenderedPageBreak/>
        <w:t xml:space="preserve">The present study examines Mandarin-speaking 4- and 5-year-olds’ interpretation and production of RVCs and monomorphemic V1s, with adults tested as a reference group. It compares RVC and V1 descriptions of events in which a target result is either attained or not, </w:t>
      </w:r>
      <w:r w:rsidR="005F1988" w:rsidRPr="005F1988">
        <w:rPr/>
        <w:t>and it compares pairs of V1s that take the same object and combine with the same V2 but were selected to differ in how strongly the actions they denote are associated with that result</w:t>
      </w:r>
      <w:r>
        <w:rPr/>
        <w:t xml:space="preserve">. To verify and characterize this difference, adults rated each V1–object expression for </w:t>
      </w:r>
      <w:r>
        <w:rPr>
          <w:i/>
          <w:iCs/>
        </w:rPr>
        <w:t>result likelihood</w:t>
      </w:r>
      <w:r>
        <w:rPr/>
        <w:t xml:space="preserve">, how likely the target result is to follow the action, and </w:t>
      </w:r>
      <w:r>
        <w:rPr>
          <w:i/>
          <w:iCs/>
        </w:rPr>
        <w:t>action typicality</w:t>
      </w:r>
      <w:r>
        <w:rPr/>
        <w:t>, how typical the action is as a means of achieving that result. We first review what constrains the combination of V1 and V2 in RVCs, then explain why existing classifications of monomorphemic V1s leave the relation between a</w:t>
      </w:r>
      <w:r w:rsidR="009B1284">
        <w:rPr/>
        <w:t xml:space="preserve">n action </w:t>
      </w:r>
      <w:r>
        <w:rPr/>
        <w:t>and a particular result underspecified and how result likelihood and action typicality characterize it. We then review children’s comprehension and production of RVCs and V1s and present the research questions and predictions.</w:t>
      </w:r>
    </w:p>
    <w:p w14:paraId="6AEFE6C7" w14:textId="77777777" w:rsidR="008215DC" w:rsidRDefault="00000000">
      <w:pPr>
        <w:pStyle w:val="Heading2"/>
      </w:pPr>
      <w:r>
        <w:rPr/>
        <w:t>V1–V2 Combination in Mandarin RVCs</w:t>
      </w:r>
    </w:p>
    <w:p w14:paraId="7F471628" w14:textId="77777777" w:rsidR="00197B71" w:rsidRDefault="00000000" w:rsidP="00197B71">
      <w:pPr/>
      <w:r>
        <w:rPr/>
        <w:t>Prior work on RVCs bears on two properties of V1 that are relevant here: which V1s can enter RVCs and what constrains their combination with V2.</w:t>
      </w:r>
    </w:p>
    <w:p w14:paraId="2F16CA1E" w14:textId="65761D18" w:rsidR="00197B71" w:rsidRPr="00197B71" w:rsidRDefault="00197B71" w:rsidP="00197B71">
      <w:pPr>
        <w:rPr>
          <w:rFonts w:eastAsia="Times New Roman"/>
        </w:rPr>
      </w:pPr>
      <w:r w:rsidRPr="00197B71">
        <w:rPr/>
        <w:t xml:space="preserve">First, the V1 of an RVC is not restricted to transitive activity verbs. Huang (2006), for example, </w:t>
      </w:r>
      <w:proofErr w:type="spellStart"/>
      <w:r w:rsidRPr="00197B71">
        <w:rPr/>
        <w:t>analyzes</w:t>
      </w:r>
      <w:proofErr w:type="spellEnd"/>
      <w:r w:rsidRPr="00197B71">
        <w:rPr/>
        <w:t xml:space="preserve"> resultatives with unergative V1s, in which V2 may predicate a result of the subject or of an object that V1 does not itself select (e.g., </w:t>
      </w:r>
      <w:proofErr w:type="spellStart"/>
      <w:r w:rsidRPr="00197B71">
        <w:rPr/>
        <w:t>kū-shī</w:t>
      </w:r>
      <w:proofErr w:type="spellEnd"/>
      <w:r w:rsidRPr="00197B71">
        <w:rPr/>
        <w:t xml:space="preserve"> </w:t>
      </w:r>
      <w:proofErr w:type="spellStart"/>
      <w:r w:rsidRPr="00197B71">
        <w:rPr/>
        <w:t>shǒupà</w:t>
      </w:r>
      <w:proofErr w:type="spellEnd"/>
      <w:r w:rsidRPr="00197B71">
        <w:rPr/>
        <w:t xml:space="preserve"> “cry-wet handkerchief”). RVCs thus vary in which participant undergoes the result and in whether that participant is an argument of V1. The present study is restricted to agentive transitive RVCs in which V1 selects the object and V2 predicates a resulting state of that object, so that across materials the same participant is acted on by V1 and undergoes the result expressed by V2.</w:t>
      </w:r>
    </w:p>
    <w:p w14:paraId="7CE2150F" w14:textId="18549C05" w:rsidR="008215DC" w:rsidRDefault="00EA6370">
      <w:pPr/>
      <w:r w:rsidRPr="00EA6370">
        <w:rPr/>
        <w:lastRenderedPageBreak/>
        <w:t xml:space="preserve">Second, V1–V2 combination is constrained by the relation between the two components. Li (1990, 1995) derives the argument structure of V–V compounds from the thematic properties of V1 and V2 and from the interaction of thematic and causative hierarchies. Han (2021) </w:t>
      </w:r>
      <w:proofErr w:type="spellStart"/>
      <w:r w:rsidRPr="00EA6370">
        <w:rPr/>
        <w:t>analyzes</w:t>
      </w:r>
      <w:proofErr w:type="spellEnd"/>
      <w:r w:rsidRPr="00EA6370">
        <w:rPr/>
        <w:t xml:space="preserve"> V1–V2 sentences as describing a force exerted by one entity on another: V1 names the action through which the force is realized, and V2 names the result state of the affected entity. On this view, a compound depends on how a particular action relates to a particular result rather than on the class of V1 alone. The same V1 can thus combine with different V2s and the same V2 with different V1s: </w:t>
      </w:r>
      <w:proofErr w:type="spellStart"/>
      <w:r w:rsidRPr="00EA6370">
        <w:rPr/>
        <w:t>tī</w:t>
      </w:r>
      <w:proofErr w:type="spellEnd"/>
      <w:r w:rsidRPr="00EA6370">
        <w:rPr/>
        <w:t xml:space="preserve"> “kick” forms both </w:t>
      </w:r>
      <w:proofErr w:type="spellStart"/>
      <w:r w:rsidRPr="00EA6370">
        <w:rPr/>
        <w:t>tī-dǎo</w:t>
      </w:r>
      <w:proofErr w:type="spellEnd"/>
      <w:r w:rsidRPr="00EA6370">
        <w:rPr/>
        <w:t xml:space="preserve"> “kick-fallen” and </w:t>
      </w:r>
      <w:proofErr w:type="spellStart"/>
      <w:r w:rsidRPr="00EA6370">
        <w:rPr/>
        <w:t>tī-kāi</w:t>
      </w:r>
      <w:proofErr w:type="spellEnd"/>
      <w:r w:rsidRPr="00EA6370">
        <w:rPr/>
        <w:t xml:space="preserve"> “kick-open,” and </w:t>
      </w:r>
      <w:proofErr w:type="spellStart"/>
      <w:r w:rsidRPr="00EA6370">
        <w:rPr/>
        <w:t>miè</w:t>
      </w:r>
      <w:proofErr w:type="spellEnd"/>
      <w:r w:rsidRPr="00EA6370">
        <w:rPr/>
        <w:t xml:space="preserve"> “extinguished” follows both </w:t>
      </w:r>
      <w:proofErr w:type="spellStart"/>
      <w:r w:rsidRPr="00EA6370">
        <w:rPr/>
        <w:t>chuī</w:t>
      </w:r>
      <w:proofErr w:type="spellEnd"/>
      <w:r w:rsidRPr="00EA6370">
        <w:rPr/>
        <w:t xml:space="preserve"> “blow” and </w:t>
      </w:r>
      <w:proofErr w:type="spellStart"/>
      <w:r w:rsidRPr="00EA6370">
        <w:rPr/>
        <w:t>pū</w:t>
      </w:r>
      <w:proofErr w:type="spellEnd"/>
      <w:r w:rsidRPr="00EA6370">
        <w:rPr/>
        <w:t xml:space="preserve"> “beat.” These combinations are not equally conventional, however, and existing accounts do not specify what makes the action named by a given V1 a </w:t>
      </w:r>
      <w:proofErr w:type="gramStart"/>
      <w:r w:rsidRPr="00EA6370">
        <w:rPr/>
        <w:t>more or less natural</w:t>
      </w:r>
      <w:proofErr w:type="gramEnd"/>
      <w:r w:rsidRPr="00EA6370">
        <w:rPr/>
        <w:t xml:space="preserve"> means of bringing about a given result. The next section addresses this relation.</w:t>
      </w:r>
    </w:p>
    <w:p w14:paraId="51D9FD59" w14:textId="77777777" w:rsidR="008215DC" w:rsidRDefault="00000000">
      <w:pPr>
        <w:pStyle w:val="Heading2"/>
      </w:pPr>
      <w:r>
        <w:rPr/>
        <w:t>Monomorphemic V1s: Classification, Result Likelihood, and Action Typicality</w:t>
      </w:r>
    </w:p>
    <w:p w14:paraId="32D917E6" w14:textId="5E3FD7E7" w:rsidR="008215DC" w:rsidRDefault="00000000">
      <w:pPr/>
      <w:r>
        <w:rPr/>
        <w:t xml:space="preserve">What a V1 conveys about a result on its own has been characterized in ways that do not align. Mandarin monomorphemic verbs such as </w:t>
      </w:r>
      <w:proofErr w:type="spellStart"/>
      <w:r>
        <w:rPr>
          <w:i/>
          <w:iCs/>
        </w:rPr>
        <w:t>shā</w:t>
      </w:r>
      <w:proofErr w:type="spellEnd"/>
      <w:r>
        <w:rPr/>
        <w:t xml:space="preserve"> “kill” and </w:t>
      </w:r>
      <w:proofErr w:type="spellStart"/>
      <w:r>
        <w:rPr>
          <w:i/>
          <w:iCs/>
        </w:rPr>
        <w:t>guān</w:t>
      </w:r>
      <w:proofErr w:type="spellEnd"/>
      <w:r>
        <w:rPr/>
        <w:t xml:space="preserve"> “close” have been </w:t>
      </w:r>
      <w:proofErr w:type="spellStart"/>
      <w:r>
        <w:rPr/>
        <w:t>analyzed</w:t>
      </w:r>
      <w:proofErr w:type="spellEnd"/>
      <w:r>
        <w:rPr/>
        <w:t xml:space="preserve"> as activity verbs that do not encode the result (Tai, 1984), as implied-</w:t>
      </w:r>
      <w:proofErr w:type="spellStart"/>
      <w:r>
        <w:rPr/>
        <w:t>fulfillment</w:t>
      </w:r>
      <w:proofErr w:type="spellEnd"/>
      <w:r>
        <w:rPr/>
        <w:t xml:space="preserve"> verbs whose result is implicated but cancellable (</w:t>
      </w:r>
      <w:proofErr w:type="spellStart"/>
      <w:r>
        <w:rPr/>
        <w:t>Talmy</w:t>
      </w:r>
      <w:proofErr w:type="spellEnd"/>
      <w:r>
        <w:rPr/>
        <w:t xml:space="preserve">, 1991, 2000), and as causative verbs that nevertheless allow zero-change </w:t>
      </w:r>
      <w:proofErr w:type="spellStart"/>
      <w:r>
        <w:rPr/>
        <w:t>construals</w:t>
      </w:r>
      <w:proofErr w:type="spellEnd"/>
      <w:r>
        <w:rPr/>
        <w:t xml:space="preserve"> (Martin et al., 2023). Kou and Hohenstein (2022) distinguish four </w:t>
      </w:r>
      <w:proofErr w:type="spellStart"/>
      <w:r>
        <w:rPr/>
        <w:t>fulfillment</w:t>
      </w:r>
      <w:proofErr w:type="spellEnd"/>
      <w:r>
        <w:rPr/>
        <w:t xml:space="preserve"> types, from verbs that leave the result unspecified to verbs that entail </w:t>
      </w:r>
      <w:proofErr w:type="gramStart"/>
      <w:r>
        <w:rPr/>
        <w:t>it, and</w:t>
      </w:r>
      <w:proofErr w:type="gramEnd"/>
      <w:r>
        <w:rPr/>
        <w:t xml:space="preserve"> propose diagnostics for assigning English and Mandarin verbs to them. Monomorphemic verbs have also been divided into strong and weak types according to their compatibility with preverbal time-span adverbials (Martin et al., 2023). Chen (2018), using adult ratings, found instead that the acceptability of cancelling the result varies along a cline across verbs, and J. Liu et al. (2026) showed that such cancellation also depends on context, such as the presence of </w:t>
      </w:r>
      <w:proofErr w:type="spellStart"/>
      <w:r>
        <w:rPr>
          <w:i/>
          <w:iCs/>
        </w:rPr>
        <w:t>hǎojǐcì</w:t>
      </w:r>
      <w:proofErr w:type="spellEnd"/>
      <w:r>
        <w:rPr/>
        <w:t xml:space="preserve"> “several </w:t>
      </w:r>
      <w:r>
        <w:rPr/>
        <w:lastRenderedPageBreak/>
        <w:t>times.” These accounts differ in their criteria and in where they draw boundaries, but they share one feature: Result strength is treated as a property of the verb.</w:t>
      </w:r>
    </w:p>
    <w:p w14:paraId="4D76A0DB" w14:textId="77777777" w:rsidR="008215DC" w:rsidRDefault="00000000">
      <w:pPr/>
      <w:r>
        <w:rPr/>
        <w:t xml:space="preserve">This verb-level characterization is a limitation for studying how a V1 description is interpreted for a particular event. A comprehension task presents a V1 with a particular object and asks about a particular result, and, as the combination facts show, the relation between the action named by a V1 and a result depends on the result in question: Kicking is plausibly a reliable way of knocking over a bottle but a less reliable way of opening a door. Work on sentence processing likewise shows that </w:t>
      </w:r>
      <w:proofErr w:type="spellStart"/>
      <w:r>
        <w:rPr/>
        <w:t>comprehenders</w:t>
      </w:r>
      <w:proofErr w:type="spellEnd"/>
      <w:r>
        <w:rPr/>
        <w:t>’ expectations about events depend on the combination of a verb with its arguments rather than on the verb alone (Bicknell et al., 2010; McRae &amp; Matsuki, 2009). Previous child studies have described differences among V1s in terms of the strength of the result inference without measuring the particular action–result relation depicted. The present study does not propose a new classification of V1s. Instead, it characterizes the actions named by the selected V1–object expressions by their association with a specified target result.</w:t>
      </w:r>
    </w:p>
    <w:p w14:paraId="5B05C447" w14:textId="77777777" w:rsidR="008215DC" w:rsidRDefault="00000000">
      <w:pPr/>
      <w:r>
        <w:rPr/>
        <w:t xml:space="preserve">The relation between the action named by a V1 and a target result, which we refer to as </w:t>
      </w:r>
      <w:r>
        <w:rPr>
          <w:i/>
          <w:iCs/>
        </w:rPr>
        <w:t>action–result association</w:t>
      </w:r>
      <w:r>
        <w:rPr/>
        <w:t>, can be evaluated from either end. Result likelihood starts from the action: Once the action named by the V1–object expression has been performed, how likely is the target result to follow? Action typicality starts from the result: Given the target result, how typical is the action as a means of achieving it? Blowing on a candle, for example, is both likely to put it out and a typical way of doing so, whereas waving at it is neither. Both dimensions concern the relation on which RVC formation depends, namely how a particular action relates to a particular result, and both bear on which stage of an event a V1 description is taken to describe.</w:t>
      </w:r>
    </w:p>
    <w:p w14:paraId="0747C604" w14:textId="77777777" w:rsidR="008215DC" w:rsidRDefault="00000000">
      <w:pPr/>
      <w:r>
        <w:rPr/>
        <w:t xml:space="preserve">Result likelihood bears on the culmination inference. Accounts of monomorphemic verbs hold that a verb can imply a result without entailing it and that the strength of the implication </w:t>
      </w:r>
      <w:r>
        <w:rPr/>
        <w:lastRenderedPageBreak/>
        <w:t xml:space="preserve">varies, whether across verbs (Chen, 2018) or across </w:t>
      </w:r>
      <w:proofErr w:type="spellStart"/>
      <w:r>
        <w:rPr/>
        <w:t>fulfillment</w:t>
      </w:r>
      <w:proofErr w:type="spellEnd"/>
      <w:r>
        <w:rPr/>
        <w:t xml:space="preserve"> types that differ in the certainty of the result (Kou &amp; Hohenstein, 2022, 2024), but they do not specify what that strength depends on. The present study takes as a working assumption that one relevant factor is how likely the result is to follow the action: The more likely the result, the stronger the expectation that the event culminated, and the less acceptable a V1 description may seem when the result is absent.</w:t>
      </w:r>
    </w:p>
    <w:p w14:paraId="6FA35DD0" w14:textId="77777777" w:rsidR="00447DD2" w:rsidRDefault="00000000" w:rsidP="00447DD2">
      <w:pPr/>
      <w:r>
        <w:rPr/>
        <w:t xml:space="preserve">Action typicality bears on what counts as a good instance of the action. Actions are understood as directed toward results, and an expression can describe an action aimed at a result while leaving its attainment open (Kou &amp; Hohenstein, 2024; </w:t>
      </w:r>
      <w:proofErr w:type="spellStart"/>
      <w:r>
        <w:rPr/>
        <w:t>Talmy</w:t>
      </w:r>
      <w:proofErr w:type="spellEnd"/>
      <w:r>
        <w:rPr/>
        <w:t>, 1991, 2000). The actions that achieve a given result can thus be viewed as a goal-derived category, in which typicality is predicted by how well members serve the goal and how often they are encountered as members (Barsalou, 1985). When an action is a typical means of achieving a result, that result is part of the usual course of the action, and an attempt that fails to produce it departs from that course. Because children are reluctant to extend familiar verbs beyond typical instances of the actions they name (Ma et al., 2021), such a failed attempt may make a V1 description less acceptable.</w:t>
      </w:r>
    </w:p>
    <w:p w14:paraId="57F22154" w14:textId="2EEB65E4" w:rsidR="008215DC" w:rsidRDefault="00000000" w:rsidP="00447DD2">
      <w:pPr/>
      <w:r>
        <w:rPr/>
        <w:t xml:space="preserve">The two dimensions are expected to go together, because an action that reliably produces a result is often also a common way of producing it, although they need not coincide in every case (Kim &amp; Murphy, 2011). The present study uses them jointly: The action named by a V1–object expression has a stronger association with the target result than the action named by its partner when adults rate the result as more likely to follow the action and the action as a more typical means of achieving it. </w:t>
      </w:r>
      <w:r w:rsidR="00447DD2" w:rsidRPr="00447DD2">
        <w:rPr/>
        <w:t>The difference in association is mirrored in how conventional the corresponding RVCs are: In the CCL corpus of Mandarin, the RVC formed with the stronger-association V1 was generally attested in more documents than that formed with its weaker-association partner (see Method).</w:t>
      </w:r>
      <w:r w:rsidR="00447DD2">
        <w:rPr/>
        <w:t xml:space="preserve"> </w:t>
      </w:r>
      <w:r>
        <w:rPr/>
        <w:t xml:space="preserve">The study does not attempt to separate the contributions of the two dimensions. Neither rating measures lexical </w:t>
      </w:r>
      <w:r>
        <w:rPr/>
        <w:lastRenderedPageBreak/>
        <w:t xml:space="preserve">entailment </w:t>
      </w:r>
      <w:proofErr w:type="gramStart"/>
      <w:r>
        <w:rPr/>
        <w:t>or</w:t>
      </w:r>
      <w:proofErr w:type="gramEnd"/>
      <w:r>
        <w:rPr/>
        <w:t xml:space="preserve"> children’s own knowledge; both are adult reference measures of the relations between the selected actions and their target results.</w:t>
      </w:r>
    </w:p>
    <w:p w14:paraId="4CCB6FEA" w14:textId="6244A499" w:rsidR="00DF4AE6" w:rsidRPr="00DF4AE6" w:rsidRDefault="00000000" w:rsidP="00DF4AE6">
      <w:pPr>
        <w:pStyle w:val="Heading2"/>
        <w:rPr>
          <w:rFonts w:hint="eastAsia"/>
        </w:rPr>
      </w:pPr>
      <w:r>
        <w:rPr/>
        <w:t>Children’s Comprehension of RVCs and V1s</w:t>
      </w:r>
    </w:p>
    <w:p w14:paraId="6726922E" w14:textId="7E6B738B" w:rsidR="00DF4AE6" w:rsidRPr="00DF4AE6" w:rsidRDefault="00DF4AE6" w:rsidP="00DF4AE6">
      <w:pPr>
        <w:rPr>
          <w:rFonts w:hint="eastAsia"/>
        </w:rPr>
      </w:pPr>
      <w:r w:rsidRPr="00DF4AE6">
        <w:rPr/>
        <w:t xml:space="preserve">Children need to learn that an RVC describes an action that brings about the result expressed by V2, and that the corresponding V1 can describe the action even when that result is absent. Comprehension studies examine this by showing events with or without the result and asking children to judge perfective sentences containing an RVC or its V1. Mandarin-speaking children show early sensitivity to the association between the perfective marker </w:t>
      </w:r>
      <w:r w:rsidRPr="00DF4AE6">
        <w:rPr>
          <w:i/>
          <w:iCs/>
        </w:rPr>
        <w:t>-le</w:t>
      </w:r>
      <w:r w:rsidRPr="00DF4AE6">
        <w:rPr/>
        <w:t xml:space="preserve"> and telic verbs (Li &amp; Bowerman, 1998).</w:t>
      </w:r>
    </w:p>
    <w:p w14:paraId="49E43DB9" w14:textId="7B3CA643" w:rsidR="00DF4AE6" w:rsidRPr="00DF4AE6" w:rsidRDefault="00DF4AE6" w:rsidP="00DF4AE6">
      <w:pPr>
        <w:rPr>
          <w:rFonts w:hint="eastAsia"/>
        </w:rPr>
      </w:pPr>
      <w:r w:rsidRPr="00DF4AE6">
        <w:rPr/>
        <w:t>For RVCs, this knowledge is largely in place by around 4 to 5 years of age. Chen (2017) tested children with mean ages of 2;6, 3;6, 4;6, and 6;1 and found that the two older groups, like adults, rejected RVCs when the result was not attained, whereas the two younger groups sometimes accepted them. Similarly, J. Liu et al. (2026) found that 3-year-olds accepted non-culminating interpretations of both RVCs and monomorphemic causative verbs, whereas 5-year-olds rejected them for RVCs.</w:t>
      </w:r>
    </w:p>
    <w:p w14:paraId="6B5F3CDE" w14:textId="77777777" w:rsidR="00C37B3C" w:rsidRDefault="00DF4AE6" w:rsidP="00C37B3C">
      <w:pPr/>
      <w:r w:rsidRPr="00DF4AE6">
        <w:rPr/>
        <w:t>For V1s, development is slower. In Chen’s (2017) study, adults always accepted a V1 when the action was performed without the result, but children in all age groups, including 6-year-olds, often rejected it, as if the V1, like the RVC, entailed the result.</w:t>
      </w:r>
      <w:r w:rsidRPr="00DF4AE6">
        <w:rPr/>
        <w:t xml:space="preserve"> J. Liu et al. (2026) likewise found that 5-year-olds rejected monomorphemic causative verbs in such events more often than adults did, although the adverbial </w:t>
      </w:r>
      <w:proofErr w:type="spellStart"/>
      <w:r w:rsidRPr="00DF4AE6">
        <w:rPr/>
        <w:t>hǎojǐcì</w:t>
      </w:r>
      <w:proofErr w:type="spellEnd"/>
      <w:r w:rsidRPr="00DF4AE6">
        <w:rPr/>
        <w:t xml:space="preserve"> “several times” increased acceptance in all age groups. Children’s rejections also varied</w:t>
      </w:r>
      <w:r w:rsidRPr="00DF4AE6">
        <w:rPr/>
        <w:t xml:space="preserve"> across verbs. In Chen’s (2017) study, </w:t>
      </w:r>
      <w:proofErr w:type="spellStart"/>
      <w:r w:rsidRPr="00DF4AE6">
        <w:rPr/>
        <w:t>guān</w:t>
      </w:r>
      <w:proofErr w:type="spellEnd"/>
      <w:r w:rsidRPr="00DF4AE6">
        <w:rPr/>
        <w:t xml:space="preserve"> “close” and </w:t>
      </w:r>
      <w:proofErr w:type="spellStart"/>
      <w:r w:rsidRPr="00DF4AE6">
        <w:rPr/>
        <w:t>zhāi</w:t>
      </w:r>
      <w:proofErr w:type="spellEnd"/>
      <w:r w:rsidRPr="00DF4AE6">
        <w:rPr/>
        <w:t xml:space="preserve"> “pick” were accepted less often than the six other V1s tested, and in an adult rating study reported in the same paper, these two verbs were also the least acceptable with a clause </w:t>
      </w:r>
      <w:r w:rsidRPr="00DF4AE6">
        <w:rPr/>
        <w:lastRenderedPageBreak/>
        <w:t>cancelling the result. Chen attributed children’s verb differences to sensitivity to the strength of the state-change implicature.</w:t>
      </w:r>
    </w:p>
    <w:p w14:paraId="07DC6774" w14:textId="2A50732D" w:rsidR="00C37B3C" w:rsidRPr="00C37B3C" w:rsidRDefault="00C37B3C" w:rsidP="00C37B3C">
      <w:pPr/>
      <w:r w:rsidRPr="00C37B3C">
        <w:rPr/>
        <w:t xml:space="preserve">These findings indicate that by 4 to 5 years of age children distinguish V1s from RVCs, in that they do not require the result for V1 descriptions as consistently as for RVC descriptions, but that their judgments of V1 descriptions remain stricter than adults’. Two questions remain open, and the present study addresses both. First, it is not well established whether 4-year-olds already make this distinction: Chen (2017) tested a single group of 10 children around this age, and J. Liu et al. (2026) tested 3- and 5-year-olds. The present study therefore compares RVC and V1 descriptions in 4- and 5-year-olds. Second, it is unclear what the variation in children’s V1 judgments depends on. J. Liu et al. (2026) showed that acceptance depends on the sentence, increasing with </w:t>
      </w:r>
      <w:proofErr w:type="spellStart"/>
      <w:r w:rsidRPr="00C37B3C">
        <w:rPr/>
        <w:t>hǎojǐcì</w:t>
      </w:r>
      <w:proofErr w:type="spellEnd"/>
      <w:r w:rsidRPr="00C37B3C">
        <w:rPr/>
        <w:t xml:space="preserve"> “several times,” and found that children, unlike adults, were not influenced by whether the agent was in control of the event. Chen (2017) found differences among verbs, but each verb was presented with a different object and result (e.g., closing a door, picking an apple), so these differences could not be separated from differences in the depicted action–result relations. Neither study varied how strongly the action is associated with the result while holding the object and the result constant. The present study does so by comparing V1s that name actions on the same object with the same target result but differ in their association with that result. If children’s judgments depend on this association, they should reject V1 descriptions of zero-result events more often for the stronger-association V1 than for its weaker-association partner.</w:t>
      </w:r>
    </w:p>
    <w:p w14:paraId="49600AF3" w14:textId="47BECA49" w:rsidR="008215DC" w:rsidRDefault="00000000" w:rsidP="00DF4AE6">
      <w:pPr>
        <w:pStyle w:val="Heading2"/>
      </w:pPr>
      <w:r>
        <w:rPr/>
        <w:t>Children’s Production of RVCs and V1s</w:t>
      </w:r>
    </w:p>
    <w:p w14:paraId="6FD9F624" w14:textId="517CD978" w:rsidR="005E64BA" w:rsidRPr="005E64BA" w:rsidRDefault="005E64BA" w:rsidP="005E64BA">
      <w:pPr>
        <w:rPr>
          <w:rFonts w:hint="eastAsia"/>
        </w:rPr>
      </w:pPr>
      <w:r w:rsidRPr="005E64BA">
        <w:rPr/>
        <w:t xml:space="preserve">Being able to form an RVC provides a resource for describing events but does not determine which information a speaker will express. Children produce RVCs from early on (Chen, 2008; Deng, 2019), although their command of RVC event structure develops gradually (Deng, 2019), </w:t>
      </w:r>
      <w:r w:rsidRPr="005E64BA">
        <w:rPr/>
        <w:lastRenderedPageBreak/>
        <w:t>and in elicitation tasks they produce infixed forms that indicate knowledge of the compounds’ internal structure (Hsu et al., 2019; X. Liu &amp; Ji, 2023). These findings establish that the components are available, but production research has largely asked whether and when children form RVCs. It has not compared descriptions of matched events in which the same action does or does not attain its result, which is the comparison needed to see how result realization shapes what children say.</w:t>
      </w:r>
    </w:p>
    <w:p w14:paraId="1D293903" w14:textId="77777777" w:rsidR="005E64BA" w:rsidRDefault="005E64BA" w:rsidP="005E64BA">
      <w:pPr/>
      <w:r w:rsidRPr="005E64BA">
        <w:rPr/>
        <w:t xml:space="preserve">Production complements comprehension. Whereas comprehension shows how children evaluate descriptions supplied to them, production shows which information they choose to express when no description is supplied, and result realization is what makes this choice informative. When the result occurs, a speaker may describe it with an RVC, mention only the action or only the result, or express the action and the result in separate predicates. When it does not, a speaker may describe only the action or mention the result </w:t>
      </w:r>
      <w:proofErr w:type="gramStart"/>
      <w:r w:rsidRPr="005E64BA">
        <w:rPr/>
        <w:t>in order to</w:t>
      </w:r>
      <w:proofErr w:type="gramEnd"/>
      <w:r w:rsidRPr="005E64BA">
        <w:rPr/>
        <w:t xml:space="preserve"> deny it, as in </w:t>
      </w:r>
      <w:proofErr w:type="spellStart"/>
      <w:r w:rsidRPr="005E64BA">
        <w:rPr/>
        <w:t>méi</w:t>
      </w:r>
      <w:proofErr w:type="spellEnd"/>
      <w:r w:rsidRPr="005E64BA">
        <w:rPr/>
        <w:t xml:space="preserve"> </w:t>
      </w:r>
      <w:proofErr w:type="spellStart"/>
      <w:r w:rsidRPr="005E64BA">
        <w:rPr/>
        <w:t>bāo-kāi</w:t>
      </w:r>
      <w:proofErr w:type="spellEnd"/>
      <w:r w:rsidRPr="005E64BA">
        <w:rPr/>
        <w:t xml:space="preserve"> “did not peel open,” which itself contains an RVC. RVC use and mention of the result therefore do not coincide: A child may produce fewer RVCs because the result is left unmentioned or because it is expressed in another form. Distinguishing these possibilities addresses RQ3, which asks how result realization relates to the forms children select and to whether they mention the result. Responses that affirm an absent result are also recorded, since a child who infers that the result has occurred may describe a zero-result event as if the result had been attained.</w:t>
      </w:r>
    </w:p>
    <w:p w14:paraId="5B385975" w14:textId="730B8CE6" w:rsidR="008215DC" w:rsidRDefault="00000000" w:rsidP="005E64BA">
      <w:pPr>
        <w:pStyle w:val="Heading2"/>
      </w:pPr>
      <w:r>
        <w:rPr/>
        <w:t>The Present Study</w:t>
      </w:r>
    </w:p>
    <w:p w14:paraId="1BCCC0DD" w14:textId="5E69B8CB" w:rsidR="008215DC" w:rsidRDefault="00000000">
      <w:pPr/>
      <w:r>
        <w:rPr/>
        <w:t>The study comprises a comprehension experiment and an elicited-production experiment with independent samples of 4-year-olds, 5-year-olds, and adults. Both use the same 40 videos: 10 pairs of actions, each pair sharing an object and a target result, with each action filmed in a full-result and a zero-result version. Each pair was constructed so that one action was expected to be more strongly associated</w:t>
      </w:r>
      <w:r>
        <w:rPr/>
        <w:t xml:space="preserve"> with the target result than the other (e.g., </w:t>
      </w:r>
      <w:proofErr w:type="spellStart"/>
      <w:r>
        <w:rPr>
          <w:i/>
          <w:iCs/>
        </w:rPr>
        <w:t>chuī</w:t>
      </w:r>
      <w:proofErr w:type="spellEnd"/>
      <w:r>
        <w:rPr/>
        <w:t xml:space="preserve"> “blow” vs. </w:t>
      </w:r>
      <w:proofErr w:type="spellStart"/>
      <w:r>
        <w:rPr>
          <w:i/>
          <w:iCs/>
        </w:rPr>
        <w:t>huī</w:t>
      </w:r>
      <w:proofErr w:type="spellEnd"/>
      <w:r>
        <w:rPr/>
        <w:t xml:space="preserve"> “wave” a candle, with the target result </w:t>
      </w:r>
      <w:proofErr w:type="spellStart"/>
      <w:r>
        <w:rPr>
          <w:i/>
          <w:iCs/>
        </w:rPr>
        <w:t>miè</w:t>
      </w:r>
      <w:proofErr w:type="spellEnd"/>
      <w:r>
        <w:rPr/>
        <w:t xml:space="preserve"> “extinguished”). After the child data had been collected, adult ratings of result likelihood and action typicality were obtained to verify and characterize this contrast. In eight pairs, the expected stronger-association expression received reliably higher ratings on both dimensions; these pairs, comprising eight stronger-association and eight weaker-association V1s, form the materials for the analyses of Experiment 1. The two remaining pairs, in which the typicality difference was reversed or neither difference was reliable, are excluded from these analyses (see Method).</w:t>
      </w:r>
    </w:p>
    <w:p w14:paraId="190F8C38" w14:textId="77777777" w:rsidR="008215DC" w:rsidRDefault="00000000">
      <w:pPr/>
      <w:r>
        <w:rPr/>
        <w:t>Experiment 1 tests children’s interpretation of RVC and V1 descriptions in a yes–no judgment task, in which acceptance serves as the measure of interpretation. It asks two questions:</w:t>
      </w:r>
    </w:p>
    <w:p w14:paraId="2BC25A89" w14:textId="5D9996D0" w:rsidR="003B797C" w:rsidRPr="003B797C" w:rsidRDefault="00000000" w:rsidP="003B797C">
      <w:pPr>
        <w:pStyle w:val="ResearchQuestion"/>
        <w:rPr>
          <w:rFonts w:hint="eastAsia"/>
        </w:rPr>
      </w:pPr>
      <w:r>
        <w:rPr>
          <w:i/>
          <w:iCs/>
        </w:rPr>
        <w:t>RQ1.</w:t>
      </w:r>
      <w:r>
        <w:rPr/>
        <w:t xml:space="preserve"> </w:t>
      </w:r>
      <w:r w:rsidR="003B797C" w:rsidRPr="003B797C">
        <w:t>Do children, like adults, interpret V1 and RVC descriptions differently with respect to the target result, as indexed by whether acceptance of the two forms differs between full-result and zero-result events, and does this differ between 4- and 5-year-olds?</w:t>
      </w:r>
    </w:p>
    <w:p w14:paraId="62C9E089" w14:textId="77777777" w:rsidR="0055310B" w:rsidRDefault="00000000" w:rsidP="0055310B">
      <w:pPr>
        <w:pStyle w:val="ResearchQuestion"/>
      </w:pPr>
      <w:r>
        <w:rPr>
          <w:i/>
          <w:iCs/>
        </w:rPr>
        <w:t>RQ2.</w:t>
      </w:r>
      <w:r>
        <w:rPr/>
        <w:t xml:space="preserve"> </w:t>
      </w:r>
      <w:r w:rsidR="0055310B" w:rsidRPr="0055310B">
        <w:t>Within pairs matched for object and target result, do children interpret stronger- and weaker-association V1s differently, as indexed by whether acceptance of V1 descriptions differs between the two sets, particularly in zero-result events, and is this difference larger in children than in adults?</w:t>
      </w:r>
    </w:p>
    <w:p w14:paraId="0FCEE6EA" w14:textId="13313BA5" w:rsidR="0055310B" w:rsidRPr="0055310B" w:rsidRDefault="00000000" w:rsidP="0055310B">
      <w:pPr/>
      <w:r>
        <w:rPr/>
        <w:t xml:space="preserve">RVC descriptions are expected to be accepted for full-result and rejected for zero-result events, although children may accept some RVC descriptions of zero-result events (J. Liu et al., 2026). </w:t>
      </w:r>
      <w:r w:rsidR="0055310B" w:rsidRPr="0055310B">
        <w:rPr/>
        <w:t>V1 descriptions are expected to be accepted less often in zero-result than in full-result events, but this difference should be smaller than for RVCs. Because children judge V1 descriptions of zero-result events more strictly than adults (Chen, 2017; J. Liu et al., 2026), the difference between the two forms is expected to be smaller in children than in adults. In zero-result events, stronger-</w:t>
      </w:r>
      <w:r w:rsidR="0055310B" w:rsidRPr="0055310B">
        <w:rPr/>
        <w:lastRenderedPageBreak/>
        <w:t>association V1s are expected to be accepted less often than their weaker-association partners, with a smaller difference in full-result events. This difference is expected to be larger in children than in adults: Adults accept V1 descriptions of zero-result events at high rates (Chen, 2017), whereas children’s stricter judgments leave room for the association to matter.</w:t>
      </w:r>
    </w:p>
    <w:p w14:paraId="62C278A4" w14:textId="6BF47137" w:rsidR="00C3541B" w:rsidRPr="00C3541B" w:rsidRDefault="00C3541B" w:rsidP="00C3541B">
      <w:pPr>
        <w:rPr>
          <w:rFonts w:hint="eastAsia"/>
        </w:rPr>
      </w:pPr>
      <w:r w:rsidRPr="00C3541B">
        <w:rPr/>
        <w:t>Experiment 2 examines how children describe the same events in an open-ended video-description task. It asks one question:</w:t>
      </w:r>
    </w:p>
    <w:p w14:paraId="2FBD96E9" w14:textId="1BA82F3D" w:rsidR="00C3541B" w:rsidRPr="00C3541B" w:rsidRDefault="00C3541B" w:rsidP="00C3541B">
      <w:pPr>
        <w:pStyle w:val="ResearchQuestion"/>
        <w:rPr>
          <w:rFonts w:hint="eastAsia"/>
        </w:rPr>
      </w:pPr>
      <w:r w:rsidRPr="00C3541B">
        <w:rPr/>
        <w:t xml:space="preserve">RQ3. Does realization of the target result affect how children describe an event, as indexed by (a) whether they include an RVC and (b) among responses without an RVC, whether they express the action only, the target </w:t>
      </w:r>
      <w:proofErr w:type="gramStart"/>
      <w:r w:rsidRPr="00C3541B">
        <w:rPr/>
        <w:t>result</w:t>
      </w:r>
      <w:proofErr w:type="gramEnd"/>
      <w:r w:rsidRPr="00C3541B">
        <w:rPr/>
        <w:t xml:space="preserve"> only, or both in separate predicates?</w:t>
      </w:r>
    </w:p>
    <w:p w14:paraId="22F7BE4D" w14:textId="77777777" w:rsidR="00C3541B" w:rsidRDefault="00C3541B" w:rsidP="00C3541B">
      <w:pPr/>
      <w:r w:rsidRPr="00C3541B">
        <w:rPr/>
        <w:t>Whether a mentioned target result is affirmed or negated is coded separately. Full-result events are expected to elicit more RVCs than zero-result events, because an absent result is expressed only if the speaker chooses to deny it. No directional predictions are made for (b) or for differences between age groups. The adult ratings are not used as predictors in Experiment 2: They were collected for specified V1–object expressions, whereas the production task supplies no expression and the videos were not rated on these dimensions.</w:t>
      </w:r>
    </w:p>
    <w:p w14:paraId="27CBC375" w14:textId="1E28EC23" w:rsidR="008215DC" w:rsidRDefault="00000000" w:rsidP="00C3541B">
      <w:pPr/>
      <w:r>
        <w:rPr/>
        <w:t>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p>
      <w:pPr>
        <w:pStyle w:val="Heading1"/>
      </w:pPr>
      <w:r>
        <w:t>Materials</w:t>
      </w:r>
    </w:p>
    <w:p>
      <w:pPr/>
      <w:r>
        <w:t xml:space="preserve">Both experiments used the same video materials. The materials were characterized in three ways: whether the videos elicited the intended V1s, how adults rated the relation between each action and its target result, and how often the corresponding RVCs occur in a corpus. Throughout, we distinguish the depicted events from the expressions used to describe them. An </w:t>
      </w:r>
      <w:r>
        <w:rPr>
          <w:i/>
        </w:rPr>
        <w:t>action</w:t>
      </w:r>
      <w:r>
        <w:t xml:space="preserve"> is what the actor does in a video (e.g., blowing on a candle), and the </w:t>
      </w:r>
      <w:r>
        <w:rPr>
          <w:i/>
        </w:rPr>
        <w:t>target result</w:t>
      </w:r>
      <w:r>
        <w:t xml:space="preserve"> is the change in the object that the action may or may not bring about (the candle going out). A </w:t>
      </w:r>
      <w:r>
        <w:rPr>
          <w:i/>
        </w:rPr>
        <w:t>V1</w:t>
      </w:r>
      <w:r>
        <w:t xml:space="preserve"> is the monomorphemic verb that names the action (</w:t>
      </w:r>
      <w:r>
        <w:rPr>
          <w:i/>
        </w:rPr>
        <w:t>chuī</w:t>
      </w:r>
      <w:r>
        <w:t xml:space="preserve"> “blow”), </w:t>
      </w:r>
      <w:r>
        <w:rPr>
          <w:i/>
        </w:rPr>
        <w:t>V2</w:t>
      </w:r>
      <w:r>
        <w:t xml:space="preserve"> is the verb or adjective that names the target result (</w:t>
      </w:r>
      <w:r>
        <w:rPr>
          <w:i/>
        </w:rPr>
        <w:t>miè</w:t>
      </w:r>
      <w:r>
        <w:t xml:space="preserve"> “extinguished”), and the </w:t>
      </w:r>
      <w:r>
        <w:rPr>
          <w:i/>
        </w:rPr>
        <w:t>RVC</w:t>
      </w:r>
      <w:r>
        <w:t xml:space="preserve"> combines the two (</w:t>
      </w:r>
      <w:r>
        <w:rPr>
          <w:i/>
        </w:rPr>
        <w:t>chuī-miè</w:t>
      </w:r>
      <w:r>
        <w:t xml:space="preserve"> “blow-extinguished”). Action–result association is a property of the relation between an action and a result; the adult ratings were collected for V1–object expressions, which name the action and the object it is performed on. For brevity, a </w:t>
      </w:r>
      <w:r>
        <w:rPr>
          <w:i/>
        </w:rPr>
        <w:t>stronger-association V1</w:t>
      </w:r>
      <w:r>
        <w:t xml:space="preserve"> is the V1 of the expression whose action adults rated as more strongly associated with the target result, and a </w:t>
      </w:r>
      <w:r>
        <w:rPr>
          <w:i/>
        </w:rPr>
        <w:t>weaker-association V1</w:t>
      </w:r>
      <w:r>
        <w:t xml:space="preserve"> is the V1 of its partner.</w:t>
      </w:r>
    </w:p>
    <w:p>
      <w:pPr>
        <w:pStyle w:val="Heading2"/>
      </w:pPr>
      <w:r>
        <w:t>Action Pairs and Videos</w:t>
      </w:r>
    </w:p>
    <w:p>
      <w:pPr/>
      <w:r>
        <w:t xml:space="preserve">The materials comprise 10 pairs of actions (Table 1). The two actions in each pair are performed on the same object and can bring about the same target result, but they were expected to differ in how strongly they are associated with that result: Peeling and squeezing a lychee can both get it open, and blowing on and waving at a candle can both put it out. Each action is named by a different V1, and both V1s combine with the same V2. Each pair therefore corresponds to two V1–object expressions (e.g., </w:t>
      </w:r>
      <w:r>
        <w:rPr>
          <w:i/>
        </w:rPr>
        <w:t>bāo lìzhī</w:t>
      </w:r>
      <w:r>
        <w:t xml:space="preserve"> “peel (the) lychee” and </w:t>
      </w:r>
      <w:r>
        <w:rPr>
          <w:i/>
        </w:rPr>
        <w:t>niē lìzhī</w:t>
      </w:r>
      <w:r>
        <w:t xml:space="preserve"> “squeeze (the) lychee”) and two RVCs (</w:t>
      </w:r>
      <w:r>
        <w:rPr>
          <w:i/>
        </w:rPr>
        <w:t>bāo-kāi</w:t>
      </w:r>
      <w:r>
        <w:t xml:space="preserve"> “peel-open” and </w:t>
      </w:r>
      <w:r>
        <w:rPr>
          <w:i/>
        </w:rPr>
        <w:t>niē-kāi</w:t>
      </w:r>
      <w:r>
        <w:t xml:space="preserve"> “squeeze-open”). The 20 expressions form two sets of 10: the expected stronger-association expressions and their expected weaker-association partners. The V1s were originally selected as Strong and Weak V1s with the preverbal time-span adverbial diagnostic (Martin et al., 2023).</w:t>
      </w:r>
      <w:r>
        <w:rPr>
          <w:highlight w:val="yellow"/>
        </w:rPr>
        <w:t>⟦待核：0507 稿称部分 V1 直接取自 Martin et al. (2020)；参考文献年份需统一⟧</w:t>
      </w:r>
      <w:r>
        <w:t xml:space="preserve"> In the present study, the two sets are characterized by the adult ratings described below rather than by this diagnostic.</w:t>
      </w:r>
    </w:p>
    <w:p>
      <w:pPr>
        <w:pStyle w:val="TableNumber"/>
      </w:pPr>
      <w:r>
        <w:t>Table 1</w:t>
      </w:r>
    </w:p>
    <w:p>
      <w:pPr>
        <w:pStyle w:val="TableTitle"/>
      </w:pPr>
      <w:r>
        <w:rPr>
          <w:i/>
        </w:rPr>
        <w:t>Action Pairs, Adult Ratings, and Corpus Frequency of the Corresponding RVCs</w:t>
      </w:r>
    </w:p>
    <w:tbl>
      <w:tblPr>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W w:w="9360" w:type="dxa"/>
        <w:tblCellMar>
          <w:left w:w="58" w:type="dxa"/>
          <w:right w:w="58" w:type="dxa"/>
        </w:tblCellMar>
        <w:tblLayout w:type="fixed"/>
      </w:tblPr>
      <w:tblGrid>
        <w:gridCol w:w="503"/>
        <w:gridCol w:w="1152"/>
        <w:gridCol w:w="1368"/>
        <w:gridCol w:w="1080"/>
        <w:gridCol w:w="1368"/>
        <w:gridCol w:w="1368"/>
        <w:gridCol w:w="1296"/>
        <w:gridCol w:w="1224"/>
      </w:tblGrid>
      <w:tr>
        <w:trPr>
          <w:tblHeader w:val="true"/>
          <w:cantSplit/>
        </w:trPr>
        <w:tc>
          <w:tcPr>
            <w:tcW w:type="dxa" w:w="504"/>
            <w:tcBorders>
              <w:bottom w:val="single" w:sz="8" w:color="000000"/>
            </w:tcBorders>
          </w:tcPr>
          <w:p>
            <w:pPr>
              <w:pStyle w:val="TableText"/>
              <w:keepNext/>
              <w:jc w:val="left"/>
            </w:pPr>
            <w:r/>
            <w:r>
              <w:t>Pair</w:t>
            </w:r>
          </w:p>
        </w:tc>
        <w:tc>
          <w:tcPr>
            <w:tcW w:type="dxa" w:w="1152"/>
            <w:tcBorders>
              <w:bottom w:val="single" w:sz="8" w:color="000000"/>
            </w:tcBorders>
          </w:tcPr>
          <w:p>
            <w:pPr>
              <w:pStyle w:val="TableText"/>
              <w:keepNext/>
              <w:jc w:val="left"/>
            </w:pPr>
            <w:r/>
            <w:r>
              <w:t>Object</w:t>
            </w:r>
          </w:p>
        </w:tc>
        <w:tc>
          <w:tcPr>
            <w:tcW w:type="dxa" w:w="1368"/>
            <w:tcBorders>
              <w:bottom w:val="single" w:sz="8" w:color="000000"/>
            </w:tcBorders>
          </w:tcPr>
          <w:p>
            <w:pPr>
              <w:pStyle w:val="TableText"/>
              <w:keepNext/>
              <w:jc w:val="left"/>
            </w:pPr>
            <w:r/>
            <w:r>
              <w:t>Target result (V2)</w:t>
            </w:r>
          </w:p>
        </w:tc>
        <w:tc>
          <w:tcPr>
            <w:tcW w:type="dxa" w:w="1080"/>
            <w:tcBorders>
              <w:bottom w:val="single" w:sz="8" w:color="000000"/>
            </w:tcBorders>
          </w:tcPr>
          <w:p>
            <w:pPr>
              <w:pStyle w:val="TableText"/>
              <w:keepNext/>
              <w:jc w:val="left"/>
            </w:pPr>
            <w:r/>
            <w:r>
              <w:t>V1</w:t>
            </w:r>
          </w:p>
        </w:tc>
        <w:tc>
          <w:tcPr>
            <w:tcW w:type="dxa" w:w="1368"/>
            <w:tcBorders>
              <w:bottom w:val="single" w:sz="8" w:color="000000"/>
            </w:tcBorders>
          </w:tcPr>
          <w:p>
            <w:pPr>
              <w:pStyle w:val="TableText"/>
              <w:keepNext/>
              <w:jc w:val="left"/>
            </w:pPr>
            <w:r/>
            <w:r>
              <w:t>RVC</w:t>
            </w:r>
          </w:p>
        </w:tc>
        <w:tc>
          <w:tcPr>
            <w:tcW w:type="dxa" w:w="1368"/>
            <w:tcBorders>
              <w:bottom w:val="single" w:sz="8" w:color="000000"/>
            </w:tcBorders>
          </w:tcPr>
          <w:p>
            <w:pPr>
              <w:pStyle w:val="TableText"/>
              <w:keepNext/>
              <w:jc w:val="center"/>
            </w:pPr>
            <w:r/>
            <w:r>
              <w:t>Likelihood</w:t>
            </w:r>
            <w:r>
              <w:br/>
            </w:r>
            <w:r>
              <w:rPr>
                <w:i/>
              </w:rPr>
              <w:t>M</w:t>
            </w:r>
            <w:r>
              <w:t xml:space="preserve"> (</w:t>
            </w:r>
            <w:r>
              <w:rPr>
                <w:i/>
              </w:rPr>
              <w:t>SD</w:t>
            </w:r>
            <w:r>
              <w:t>)</w:t>
            </w:r>
          </w:p>
        </w:tc>
        <w:tc>
          <w:tcPr>
            <w:tcW w:type="dxa" w:w="1296"/>
            <w:tcBorders>
              <w:bottom w:val="single" w:sz="8" w:color="000000"/>
            </w:tcBorders>
          </w:tcPr>
          <w:p>
            <w:pPr>
              <w:pStyle w:val="TableText"/>
              <w:keepNext/>
              <w:jc w:val="center"/>
            </w:pPr>
            <w:r/>
            <w:r>
              <w:t>Typicality</w:t>
            </w:r>
            <w:r>
              <w:br/>
            </w:r>
            <w:r>
              <w:rPr>
                <w:i/>
              </w:rPr>
              <w:t>M</w:t>
            </w:r>
            <w:r>
              <w:t xml:space="preserve"> (</w:t>
            </w:r>
            <w:r>
              <w:rPr>
                <w:i/>
              </w:rPr>
              <w:t>SD</w:t>
            </w:r>
            <w:r>
              <w:t>)</w:t>
            </w:r>
          </w:p>
        </w:tc>
        <w:tc>
          <w:tcPr>
            <w:tcW w:type="dxa" w:w="1224"/>
            <w:tcBorders>
              <w:bottom w:val="single" w:sz="8" w:color="000000"/>
            </w:tcBorders>
          </w:tcPr>
          <w:p>
            <w:pPr>
              <w:pStyle w:val="TableText"/>
              <w:keepNext/>
              <w:jc w:val="center"/>
            </w:pPr>
            <w:r/>
            <w:r>
              <w:t>CCL</w:t>
            </w:r>
            <w:r>
              <w:br/>
            </w:r>
            <w:r>
              <w:t>documents</w:t>
            </w:r>
          </w:p>
        </w:tc>
      </w:tr>
      <w:tr>
        <w:trPr>
          <w:cantSplit/>
        </w:trPr>
        <w:tc>
          <w:tcPr>
            <w:tcW w:type="dxa" w:w="504"/>
            <w:vMerge w:val="restart"/>
          </w:tcPr>
          <w:p>
            <w:pPr>
              <w:pStyle w:val="TableText"/>
              <w:keepNext/>
              <w:jc w:val="left"/>
            </w:pPr>
            <w:r/>
            <w:r>
              <w:t>1</w:t>
            </w:r>
          </w:p>
        </w:tc>
        <w:tc>
          <w:tcPr>
            <w:tcW w:type="dxa" w:w="1152"/>
            <w:vMerge w:val="restart"/>
          </w:tcPr>
          <w:p>
            <w:pPr>
              <w:pStyle w:val="TableText"/>
              <w:keepNext/>
              <w:jc w:val="left"/>
            </w:pPr>
            <w:r/>
            <w:r>
              <w:rPr>
                <w:i/>
              </w:rPr>
              <w:t>lìzhī</w:t>
            </w:r>
            <w:r>
              <w:br/>
            </w:r>
            <w:r>
              <w:t>“lychee”</w:t>
            </w:r>
          </w:p>
        </w:tc>
        <w:tc>
          <w:tcPr>
            <w:tcW w:type="dxa" w:w="1368"/>
            <w:vMerge w:val="restart"/>
          </w:tcPr>
          <w:p>
            <w:pPr>
              <w:pStyle w:val="TableText"/>
              <w:keepNext/>
              <w:jc w:val="left"/>
            </w:pPr>
            <w:r/>
            <w:r>
              <w:rPr>
                <w:i/>
              </w:rPr>
              <w:t>kāi</w:t>
            </w:r>
            <w:r>
              <w:br/>
            </w:r>
            <w:r>
              <w:t>“open”</w:t>
            </w:r>
          </w:p>
        </w:tc>
        <w:tc>
          <w:tcPr>
            <w:tcW w:type="dxa" w:w="1080"/>
          </w:tcPr>
          <w:p>
            <w:pPr>
              <w:pStyle w:val="TableText"/>
              <w:keepNext/>
              <w:jc w:val="left"/>
            </w:pPr>
            <w:r/>
            <w:r>
              <w:rPr>
                <w:i/>
              </w:rPr>
              <w:t>bāo</w:t>
            </w:r>
            <w:r>
              <w:br/>
            </w:r>
            <w:r>
              <w:t>“peel”</w:t>
            </w:r>
          </w:p>
        </w:tc>
        <w:tc>
          <w:tcPr>
            <w:tcW w:type="dxa" w:w="1368"/>
          </w:tcPr>
          <w:p>
            <w:pPr>
              <w:pStyle w:val="TableText"/>
              <w:keepNext/>
              <w:jc w:val="left"/>
            </w:pPr>
            <w:r/>
            <w:r>
              <w:rPr>
                <w:i/>
              </w:rPr>
              <w:t>bāo-kāi</w:t>
            </w:r>
          </w:p>
        </w:tc>
        <w:tc>
          <w:tcPr>
            <w:tcW w:type="dxa" w:w="1368"/>
          </w:tcPr>
          <w:p>
            <w:pPr>
              <w:pStyle w:val="TableText"/>
              <w:keepNext/>
              <w:jc w:val="center"/>
            </w:pPr>
            <w:r/>
            <w:r>
              <w:t>93.40 (12.50)</w:t>
            </w:r>
          </w:p>
        </w:tc>
        <w:tc>
          <w:tcPr>
            <w:tcW w:type="dxa" w:w="1296"/>
          </w:tcPr>
          <w:p>
            <w:pPr>
              <w:pStyle w:val="TableText"/>
              <w:keepNext/>
              <w:jc w:val="center"/>
            </w:pPr>
            <w:r/>
            <w:r>
              <w:t>6.65 (0.81)</w:t>
            </w:r>
          </w:p>
        </w:tc>
        <w:tc>
          <w:tcPr>
            <w:tcW w:type="dxa" w:w="1224"/>
          </w:tcPr>
          <w:p>
            <w:pPr>
              <w:pStyle w:val="TableText"/>
              <w:keepNext/>
              <w:jc w:val="center"/>
            </w:pPr>
            <w:r/>
            <w:r>
              <w:t>1,700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niē</w:t>
            </w:r>
            <w:r>
              <w:br/>
            </w:r>
            <w:r>
              <w:t>“squeeze”</w:t>
            </w:r>
          </w:p>
        </w:tc>
        <w:tc>
          <w:tcPr>
            <w:tcW w:type="dxa" w:w="1368"/>
          </w:tcPr>
          <w:p>
            <w:pPr>
              <w:pStyle w:val="TableText"/>
              <w:keepNext/>
              <w:jc w:val="left"/>
            </w:pPr>
            <w:r/>
            <w:r>
              <w:rPr>
                <w:i/>
              </w:rPr>
              <w:t>niē-kāi</w:t>
            </w:r>
          </w:p>
        </w:tc>
        <w:tc>
          <w:tcPr>
            <w:tcW w:type="dxa" w:w="1368"/>
          </w:tcPr>
          <w:p>
            <w:pPr>
              <w:pStyle w:val="TableText"/>
              <w:keepNext/>
              <w:jc w:val="center"/>
            </w:pPr>
            <w:r/>
            <w:r>
              <w:t>64.50 (26.97)</w:t>
            </w:r>
          </w:p>
        </w:tc>
        <w:tc>
          <w:tcPr>
            <w:tcW w:type="dxa" w:w="1296"/>
          </w:tcPr>
          <w:p>
            <w:pPr>
              <w:pStyle w:val="TableText"/>
              <w:keepNext/>
              <w:jc w:val="center"/>
            </w:pPr>
            <w:r/>
            <w:r>
              <w:t>3.40 (1.60)</w:t>
            </w:r>
          </w:p>
        </w:tc>
        <w:tc>
          <w:tcPr>
            <w:tcW w:type="dxa" w:w="1224"/>
          </w:tcPr>
          <w:p>
            <w:pPr>
              <w:pStyle w:val="TableText"/>
              <w:keepNext/>
              <w:jc w:val="center"/>
            </w:pPr>
            <w:r/>
            <w:r>
              <w:t>28</w:t>
            </w:r>
          </w:p>
        </w:tc>
      </w:tr>
      <w:tr>
        <w:trPr>
          <w:cantSplit/>
        </w:trPr>
        <w:tc>
          <w:tcPr>
            <w:tcW w:type="dxa" w:w="504"/>
            <w:vMerge w:val="restart"/>
          </w:tcPr>
          <w:p>
            <w:pPr>
              <w:pStyle w:val="TableText"/>
              <w:keepNext/>
              <w:jc w:val="left"/>
            </w:pPr>
            <w:r/>
            <w:r>
              <w:t>2</w:t>
            </w:r>
          </w:p>
        </w:tc>
        <w:tc>
          <w:tcPr>
            <w:tcW w:type="dxa" w:w="1152"/>
            <w:vMerge w:val="restart"/>
          </w:tcPr>
          <w:p>
            <w:pPr>
              <w:pStyle w:val="TableText"/>
              <w:keepNext/>
              <w:jc w:val="left"/>
            </w:pPr>
            <w:r/>
            <w:r>
              <w:rPr>
                <w:i/>
              </w:rPr>
              <w:t>dèngzi</w:t>
            </w:r>
            <w:r>
              <w:br/>
            </w:r>
            <w:r>
              <w:t>“stool”</w:t>
            </w:r>
          </w:p>
        </w:tc>
        <w:tc>
          <w:tcPr>
            <w:tcW w:type="dxa" w:w="1368"/>
            <w:vMerge w:val="restart"/>
          </w:tcPr>
          <w:p>
            <w:pPr>
              <w:pStyle w:val="TableText"/>
              <w:keepNext/>
              <w:jc w:val="left"/>
            </w:pPr>
            <w:r/>
            <w:r>
              <w:rPr>
                <w:i/>
              </w:rPr>
              <w:t>fān</w:t>
            </w:r>
            <w:r>
              <w:br/>
            </w:r>
            <w:r>
              <w:t>“overturned”</w:t>
            </w:r>
          </w:p>
        </w:tc>
        <w:tc>
          <w:tcPr>
            <w:tcW w:type="dxa" w:w="1080"/>
          </w:tcPr>
          <w:p>
            <w:pPr>
              <w:pStyle w:val="TableText"/>
              <w:keepNext/>
              <w:jc w:val="left"/>
            </w:pPr>
            <w:r/>
            <w:r>
              <w:rPr>
                <w:i/>
              </w:rPr>
              <w:t>xiān</w:t>
            </w:r>
            <w:r>
              <w:br/>
            </w:r>
            <w:r>
              <w:t>“flip”</w:t>
            </w:r>
          </w:p>
        </w:tc>
        <w:tc>
          <w:tcPr>
            <w:tcW w:type="dxa" w:w="1368"/>
          </w:tcPr>
          <w:p>
            <w:pPr>
              <w:pStyle w:val="TableText"/>
              <w:keepNext/>
              <w:jc w:val="left"/>
            </w:pPr>
            <w:r/>
            <w:r>
              <w:rPr>
                <w:i/>
              </w:rPr>
              <w:t>xiān-fān</w:t>
            </w:r>
          </w:p>
        </w:tc>
        <w:tc>
          <w:tcPr>
            <w:tcW w:type="dxa" w:w="1368"/>
          </w:tcPr>
          <w:p>
            <w:pPr>
              <w:pStyle w:val="TableText"/>
              <w:keepNext/>
              <w:jc w:val="center"/>
            </w:pPr>
            <w:r/>
            <w:r>
              <w:t>83.60 (21.36)</w:t>
            </w:r>
          </w:p>
        </w:tc>
        <w:tc>
          <w:tcPr>
            <w:tcW w:type="dxa" w:w="1296"/>
          </w:tcPr>
          <w:p>
            <w:pPr>
              <w:pStyle w:val="TableText"/>
              <w:keepNext/>
              <w:jc w:val="center"/>
            </w:pPr>
            <w:r/>
            <w:r>
              <w:t>6.40 (0.94)</w:t>
            </w:r>
          </w:p>
        </w:tc>
        <w:tc>
          <w:tcPr>
            <w:tcW w:type="dxa" w:w="1224"/>
          </w:tcPr>
          <w:p>
            <w:pPr>
              <w:pStyle w:val="TableText"/>
              <w:keepNext/>
              <w:jc w:val="center"/>
            </w:pPr>
            <w:r/>
            <w:r>
              <w:t>1,780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pāi</w:t>
            </w:r>
            <w:r>
              <w:br/>
            </w:r>
            <w:r>
              <w:t>“slap”</w:t>
            </w:r>
          </w:p>
        </w:tc>
        <w:tc>
          <w:tcPr>
            <w:tcW w:type="dxa" w:w="1368"/>
          </w:tcPr>
          <w:p>
            <w:pPr>
              <w:pStyle w:val="TableText"/>
              <w:keepNext/>
              <w:jc w:val="left"/>
            </w:pPr>
            <w:r/>
            <w:r>
              <w:rPr>
                <w:i/>
              </w:rPr>
              <w:t>pāi-fān</w:t>
            </w:r>
          </w:p>
        </w:tc>
        <w:tc>
          <w:tcPr>
            <w:tcW w:type="dxa" w:w="1368"/>
          </w:tcPr>
          <w:p>
            <w:pPr>
              <w:pStyle w:val="TableText"/>
              <w:keepNext/>
              <w:jc w:val="center"/>
            </w:pPr>
            <w:r/>
            <w:r>
              <w:t>15.70 (18.63)</w:t>
            </w:r>
          </w:p>
        </w:tc>
        <w:tc>
          <w:tcPr>
            <w:tcW w:type="dxa" w:w="1296"/>
          </w:tcPr>
          <w:p>
            <w:pPr>
              <w:pStyle w:val="TableText"/>
              <w:keepNext/>
              <w:jc w:val="center"/>
            </w:pPr>
            <w:r/>
            <w:r>
              <w:t>1.80 (0.89)</w:t>
            </w:r>
          </w:p>
        </w:tc>
        <w:tc>
          <w:tcPr>
            <w:tcW w:type="dxa" w:w="1224"/>
          </w:tcPr>
          <w:p>
            <w:pPr>
              <w:pStyle w:val="TableText"/>
              <w:keepNext/>
              <w:jc w:val="center"/>
            </w:pPr>
            <w:r/>
            <w:r>
              <w:t>13ᵈ</w:t>
            </w:r>
          </w:p>
        </w:tc>
      </w:tr>
      <w:tr>
        <w:trPr>
          <w:cantSplit/>
        </w:trPr>
        <w:tc>
          <w:tcPr>
            <w:tcW w:type="dxa" w:w="504"/>
            <w:vMerge w:val="restart"/>
          </w:tcPr>
          <w:p>
            <w:pPr>
              <w:pStyle w:val="TableText"/>
              <w:keepNext/>
              <w:jc w:val="left"/>
            </w:pPr>
            <w:r/>
            <w:r>
              <w:t>3</w:t>
            </w:r>
          </w:p>
        </w:tc>
        <w:tc>
          <w:tcPr>
            <w:tcW w:type="dxa" w:w="1152"/>
            <w:vMerge w:val="restart"/>
          </w:tcPr>
          <w:p>
            <w:pPr>
              <w:pStyle w:val="TableText"/>
              <w:keepNext/>
              <w:jc w:val="left"/>
            </w:pPr>
            <w:r/>
            <w:r>
              <w:rPr>
                <w:i/>
              </w:rPr>
              <w:t>shǒuzhǐ</w:t>
            </w:r>
            <w:r>
              <w:br/>
            </w:r>
            <w:r>
              <w:t>“finger”</w:t>
            </w:r>
          </w:p>
        </w:tc>
        <w:tc>
          <w:tcPr>
            <w:tcW w:type="dxa" w:w="1368"/>
            <w:vMerge w:val="restart"/>
          </w:tcPr>
          <w:p>
            <w:pPr>
              <w:pStyle w:val="TableText"/>
              <w:keepNext/>
              <w:jc w:val="left"/>
            </w:pPr>
            <w:r/>
            <w:r>
              <w:rPr>
                <w:i/>
              </w:rPr>
              <w:t>wān</w:t>
            </w:r>
            <w:r>
              <w:br/>
            </w:r>
            <w:r>
              <w:t>“bent”</w:t>
            </w:r>
          </w:p>
        </w:tc>
        <w:tc>
          <w:tcPr>
            <w:tcW w:type="dxa" w:w="1080"/>
          </w:tcPr>
          <w:p>
            <w:pPr>
              <w:pStyle w:val="TableText"/>
              <w:keepNext/>
              <w:jc w:val="left"/>
            </w:pPr>
            <w:r/>
            <w:r>
              <w:rPr>
                <w:i/>
              </w:rPr>
              <w:t>bāi</w:t>
            </w:r>
            <w:r>
              <w:br/>
            </w:r>
            <w:r>
              <w:t>“twist”</w:t>
            </w:r>
          </w:p>
        </w:tc>
        <w:tc>
          <w:tcPr>
            <w:tcW w:type="dxa" w:w="1368"/>
          </w:tcPr>
          <w:p>
            <w:pPr>
              <w:pStyle w:val="TableText"/>
              <w:keepNext/>
              <w:jc w:val="left"/>
            </w:pPr>
            <w:r/>
            <w:r>
              <w:rPr>
                <w:i/>
              </w:rPr>
              <w:t>bāi-wān</w:t>
            </w:r>
          </w:p>
        </w:tc>
        <w:tc>
          <w:tcPr>
            <w:tcW w:type="dxa" w:w="1368"/>
          </w:tcPr>
          <w:p>
            <w:pPr>
              <w:pStyle w:val="TableText"/>
              <w:keepNext/>
              <w:jc w:val="center"/>
            </w:pPr>
            <w:r/>
            <w:r>
              <w:t>63.20 (31.57)</w:t>
            </w:r>
          </w:p>
        </w:tc>
        <w:tc>
          <w:tcPr>
            <w:tcW w:type="dxa" w:w="1296"/>
          </w:tcPr>
          <w:p>
            <w:pPr>
              <w:pStyle w:val="TableText"/>
              <w:keepNext/>
              <w:jc w:val="center"/>
            </w:pPr>
            <w:r/>
            <w:r>
              <w:t>5.95 (1.05)</w:t>
            </w:r>
          </w:p>
        </w:tc>
        <w:tc>
          <w:tcPr>
            <w:tcW w:type="dxa" w:w="1224"/>
          </w:tcPr>
          <w:p>
            <w:pPr>
              <w:pStyle w:val="TableText"/>
              <w:keepNext/>
              <w:jc w:val="center"/>
            </w:pPr>
            <w:r/>
            <w:r>
              <w:t>130ᵇ</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àn</w:t>
            </w:r>
            <w:r>
              <w:br/>
            </w:r>
            <w:r>
              <w:t>“press”</w:t>
            </w:r>
          </w:p>
        </w:tc>
        <w:tc>
          <w:tcPr>
            <w:tcW w:type="dxa" w:w="1368"/>
          </w:tcPr>
          <w:p>
            <w:pPr>
              <w:pStyle w:val="TableText"/>
              <w:keepNext/>
              <w:jc w:val="left"/>
            </w:pPr>
            <w:r/>
            <w:r>
              <w:rPr>
                <w:i/>
              </w:rPr>
              <w:t>àn-wān</w:t>
            </w:r>
          </w:p>
        </w:tc>
        <w:tc>
          <w:tcPr>
            <w:tcW w:type="dxa" w:w="1368"/>
          </w:tcPr>
          <w:p>
            <w:pPr>
              <w:pStyle w:val="TableText"/>
              <w:keepNext/>
              <w:jc w:val="center"/>
            </w:pPr>
            <w:r/>
            <w:r>
              <w:t>27.70 (28.15)</w:t>
            </w:r>
          </w:p>
        </w:tc>
        <w:tc>
          <w:tcPr>
            <w:tcW w:type="dxa" w:w="1296"/>
          </w:tcPr>
          <w:p>
            <w:pPr>
              <w:pStyle w:val="TableText"/>
              <w:keepNext/>
              <w:jc w:val="center"/>
            </w:pPr>
            <w:r/>
            <w:r>
              <w:t>3.05 (1.57)</w:t>
            </w:r>
          </w:p>
        </w:tc>
        <w:tc>
          <w:tcPr>
            <w:tcW w:type="dxa" w:w="1224"/>
          </w:tcPr>
          <w:p>
            <w:pPr>
              <w:pStyle w:val="TableText"/>
              <w:keepNext/>
              <w:jc w:val="center"/>
            </w:pPr>
            <w:r/>
            <w:r>
              <w:t>1</w:t>
            </w:r>
          </w:p>
        </w:tc>
      </w:tr>
      <w:tr>
        <w:trPr>
          <w:cantSplit/>
        </w:trPr>
        <w:tc>
          <w:tcPr>
            <w:tcW w:type="dxa" w:w="504"/>
            <w:vMerge w:val="restart"/>
          </w:tcPr>
          <w:p>
            <w:pPr>
              <w:pStyle w:val="TableText"/>
              <w:keepNext/>
              <w:jc w:val="left"/>
            </w:pPr>
            <w:r/>
            <w:r>
              <w:t>4</w:t>
            </w:r>
          </w:p>
        </w:tc>
        <w:tc>
          <w:tcPr>
            <w:tcW w:type="dxa" w:w="1152"/>
            <w:vMerge w:val="restart"/>
          </w:tcPr>
          <w:p>
            <w:pPr>
              <w:pStyle w:val="TableText"/>
              <w:keepNext/>
              <w:jc w:val="left"/>
            </w:pPr>
            <w:r/>
            <w:r>
              <w:rPr>
                <w:i/>
              </w:rPr>
              <w:t>zhǐ</w:t>
            </w:r>
            <w:r>
              <w:br/>
            </w:r>
            <w:r>
              <w:t>“paper”</w:t>
            </w:r>
          </w:p>
        </w:tc>
        <w:tc>
          <w:tcPr>
            <w:tcW w:type="dxa" w:w="1368"/>
            <w:vMerge w:val="restart"/>
          </w:tcPr>
          <w:p>
            <w:pPr>
              <w:pStyle w:val="TableText"/>
              <w:keepNext/>
              <w:jc w:val="left"/>
            </w:pPr>
            <w:r/>
            <w:r>
              <w:rPr>
                <w:i/>
              </w:rPr>
              <w:t>pò</w:t>
            </w:r>
            <w:r>
              <w:br/>
            </w:r>
            <w:r>
              <w:t>“torn”</w:t>
            </w:r>
          </w:p>
        </w:tc>
        <w:tc>
          <w:tcPr>
            <w:tcW w:type="dxa" w:w="1080"/>
          </w:tcPr>
          <w:p>
            <w:pPr>
              <w:pStyle w:val="TableText"/>
              <w:keepNext/>
              <w:jc w:val="left"/>
            </w:pPr>
            <w:r/>
            <w:r>
              <w:rPr>
                <w:i/>
              </w:rPr>
              <w:t>sī</w:t>
            </w:r>
            <w:r>
              <w:br/>
            </w:r>
            <w:r>
              <w:t>“tear”</w:t>
            </w:r>
          </w:p>
        </w:tc>
        <w:tc>
          <w:tcPr>
            <w:tcW w:type="dxa" w:w="1368"/>
          </w:tcPr>
          <w:p>
            <w:pPr>
              <w:pStyle w:val="TableText"/>
              <w:keepNext/>
              <w:jc w:val="left"/>
            </w:pPr>
            <w:r/>
            <w:r>
              <w:rPr>
                <w:i/>
              </w:rPr>
              <w:t>sī-pò</w:t>
            </w:r>
          </w:p>
        </w:tc>
        <w:tc>
          <w:tcPr>
            <w:tcW w:type="dxa" w:w="1368"/>
          </w:tcPr>
          <w:p>
            <w:pPr>
              <w:pStyle w:val="TableText"/>
              <w:keepNext/>
              <w:jc w:val="center"/>
            </w:pPr>
            <w:r/>
            <w:r>
              <w:t>86.65 (17.12)</w:t>
            </w:r>
          </w:p>
        </w:tc>
        <w:tc>
          <w:tcPr>
            <w:tcW w:type="dxa" w:w="1296"/>
          </w:tcPr>
          <w:p>
            <w:pPr>
              <w:pStyle w:val="TableText"/>
              <w:keepNext/>
              <w:jc w:val="center"/>
            </w:pPr>
            <w:r/>
            <w:r>
              <w:t>6.50 (0.95)</w:t>
            </w:r>
          </w:p>
        </w:tc>
        <w:tc>
          <w:tcPr>
            <w:tcW w:type="dxa" w:w="1224"/>
          </w:tcPr>
          <w:p>
            <w:pPr>
              <w:pStyle w:val="TableText"/>
              <w:keepNext/>
              <w:jc w:val="center"/>
            </w:pPr>
            <w:r/>
            <w:r>
              <w:t>2,350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zhuài</w:t>
            </w:r>
            <w:r>
              <w:br/>
            </w:r>
            <w:r>
              <w:t>“pull”</w:t>
            </w:r>
          </w:p>
        </w:tc>
        <w:tc>
          <w:tcPr>
            <w:tcW w:type="dxa" w:w="1368"/>
          </w:tcPr>
          <w:p>
            <w:pPr>
              <w:pStyle w:val="TableText"/>
              <w:keepNext/>
              <w:jc w:val="left"/>
            </w:pPr>
            <w:r/>
            <w:r>
              <w:rPr>
                <w:i/>
              </w:rPr>
              <w:t>zhuài-pò</w:t>
            </w:r>
          </w:p>
        </w:tc>
        <w:tc>
          <w:tcPr>
            <w:tcW w:type="dxa" w:w="1368"/>
          </w:tcPr>
          <w:p>
            <w:pPr>
              <w:pStyle w:val="TableText"/>
              <w:keepNext/>
              <w:jc w:val="center"/>
            </w:pPr>
            <w:r/>
            <w:r>
              <w:t>50.40 (18.28)</w:t>
            </w:r>
          </w:p>
        </w:tc>
        <w:tc>
          <w:tcPr>
            <w:tcW w:type="dxa" w:w="1296"/>
          </w:tcPr>
          <w:p>
            <w:pPr>
              <w:pStyle w:val="TableText"/>
              <w:keepNext/>
              <w:jc w:val="center"/>
            </w:pPr>
            <w:r/>
            <w:r>
              <w:t>3.00 (1.30)</w:t>
            </w:r>
          </w:p>
        </w:tc>
        <w:tc>
          <w:tcPr>
            <w:tcW w:type="dxa" w:w="1224"/>
          </w:tcPr>
          <w:p>
            <w:pPr>
              <w:pStyle w:val="TableText"/>
              <w:keepNext/>
              <w:jc w:val="center"/>
            </w:pPr>
            <w:r/>
            <w:r>
              <w:t>2</w:t>
            </w:r>
          </w:p>
        </w:tc>
      </w:tr>
      <w:tr>
        <w:trPr>
          <w:cantSplit/>
        </w:trPr>
        <w:tc>
          <w:tcPr>
            <w:tcW w:type="dxa" w:w="504"/>
            <w:vMerge w:val="restart"/>
          </w:tcPr>
          <w:p>
            <w:pPr>
              <w:pStyle w:val="TableText"/>
              <w:keepNext/>
              <w:jc w:val="left"/>
            </w:pPr>
            <w:r/>
            <w:r>
              <w:t>5</w:t>
            </w:r>
          </w:p>
        </w:tc>
        <w:tc>
          <w:tcPr>
            <w:tcW w:type="dxa" w:w="1152"/>
            <w:vMerge w:val="restart"/>
          </w:tcPr>
          <w:p>
            <w:pPr>
              <w:pStyle w:val="TableText"/>
              <w:keepNext/>
              <w:jc w:val="left"/>
            </w:pPr>
            <w:r/>
            <w:r>
              <w:rPr>
                <w:i/>
              </w:rPr>
              <w:t>làzhú</w:t>
            </w:r>
            <w:r>
              <w:br/>
            </w:r>
            <w:r>
              <w:t>“candle”</w:t>
            </w:r>
          </w:p>
        </w:tc>
        <w:tc>
          <w:tcPr>
            <w:tcW w:type="dxa" w:w="1368"/>
            <w:vMerge w:val="restart"/>
          </w:tcPr>
          <w:p>
            <w:pPr>
              <w:pStyle w:val="TableText"/>
              <w:keepNext/>
              <w:jc w:val="left"/>
            </w:pPr>
            <w:r/>
            <w:r>
              <w:rPr>
                <w:i/>
              </w:rPr>
              <w:t>miè</w:t>
            </w:r>
            <w:r>
              <w:br/>
            </w:r>
            <w:r>
              <w:t>“extinguished”</w:t>
            </w:r>
          </w:p>
        </w:tc>
        <w:tc>
          <w:tcPr>
            <w:tcW w:type="dxa" w:w="1080"/>
          </w:tcPr>
          <w:p>
            <w:pPr>
              <w:pStyle w:val="TableText"/>
              <w:keepNext/>
              <w:jc w:val="left"/>
            </w:pPr>
            <w:r/>
            <w:r>
              <w:rPr>
                <w:i/>
              </w:rPr>
              <w:t>chuī</w:t>
            </w:r>
            <w:r>
              <w:br/>
            </w:r>
            <w:r>
              <w:t>“blow”</w:t>
            </w:r>
          </w:p>
        </w:tc>
        <w:tc>
          <w:tcPr>
            <w:tcW w:type="dxa" w:w="1368"/>
          </w:tcPr>
          <w:p>
            <w:pPr>
              <w:pStyle w:val="TableText"/>
              <w:keepNext/>
              <w:jc w:val="left"/>
            </w:pPr>
            <w:r/>
            <w:r>
              <w:rPr>
                <w:i/>
              </w:rPr>
              <w:t>chuī-miè</w:t>
            </w:r>
          </w:p>
        </w:tc>
        <w:tc>
          <w:tcPr>
            <w:tcW w:type="dxa" w:w="1368"/>
          </w:tcPr>
          <w:p>
            <w:pPr>
              <w:pStyle w:val="TableText"/>
              <w:keepNext/>
              <w:jc w:val="center"/>
            </w:pPr>
            <w:r/>
            <w:r>
              <w:t>76.25 (17.39)</w:t>
            </w:r>
          </w:p>
        </w:tc>
        <w:tc>
          <w:tcPr>
            <w:tcW w:type="dxa" w:w="1296"/>
          </w:tcPr>
          <w:p>
            <w:pPr>
              <w:pStyle w:val="TableText"/>
              <w:keepNext/>
              <w:jc w:val="center"/>
            </w:pPr>
            <w:r/>
            <w:r>
              <w:t>6.65 (0.75)</w:t>
            </w:r>
          </w:p>
        </w:tc>
        <w:tc>
          <w:tcPr>
            <w:tcW w:type="dxa" w:w="1224"/>
          </w:tcPr>
          <w:p>
            <w:pPr>
              <w:pStyle w:val="TableText"/>
              <w:keepNext/>
              <w:jc w:val="center"/>
            </w:pPr>
            <w:r/>
            <w:r>
              <w:t>770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huī</w:t>
            </w:r>
            <w:r>
              <w:br/>
            </w:r>
            <w:r>
              <w:t>“wave”</w:t>
            </w:r>
          </w:p>
        </w:tc>
        <w:tc>
          <w:tcPr>
            <w:tcW w:type="dxa" w:w="1368"/>
          </w:tcPr>
          <w:p>
            <w:pPr>
              <w:pStyle w:val="TableText"/>
              <w:keepNext/>
              <w:jc w:val="left"/>
            </w:pPr>
            <w:r/>
            <w:r>
              <w:rPr>
                <w:i/>
              </w:rPr>
              <w:t>huī-miè</w:t>
            </w:r>
          </w:p>
        </w:tc>
        <w:tc>
          <w:tcPr>
            <w:tcW w:type="dxa" w:w="1368"/>
          </w:tcPr>
          <w:p>
            <w:pPr>
              <w:pStyle w:val="TableText"/>
              <w:keepNext/>
              <w:jc w:val="center"/>
            </w:pPr>
            <w:r/>
            <w:r>
              <w:t>40.45 (22.25)</w:t>
            </w:r>
          </w:p>
        </w:tc>
        <w:tc>
          <w:tcPr>
            <w:tcW w:type="dxa" w:w="1296"/>
          </w:tcPr>
          <w:p>
            <w:pPr>
              <w:pStyle w:val="TableText"/>
              <w:keepNext/>
              <w:jc w:val="center"/>
            </w:pPr>
            <w:r/>
            <w:r>
              <w:t>2.70 (1.30)</w:t>
            </w:r>
          </w:p>
        </w:tc>
        <w:tc>
          <w:tcPr>
            <w:tcW w:type="dxa" w:w="1224"/>
          </w:tcPr>
          <w:p>
            <w:pPr>
              <w:pStyle w:val="TableText"/>
              <w:keepNext/>
              <w:jc w:val="center"/>
            </w:pPr>
            <w:r/>
            <w:r>
              <w:t>0</w:t>
            </w:r>
          </w:p>
        </w:tc>
      </w:tr>
      <w:tr>
        <w:trPr>
          <w:cantSplit/>
        </w:trPr>
        <w:tc>
          <w:tcPr>
            <w:tcW w:type="dxa" w:w="504"/>
            <w:vMerge w:val="restart"/>
          </w:tcPr>
          <w:p>
            <w:pPr>
              <w:pStyle w:val="TableText"/>
              <w:keepNext/>
              <w:jc w:val="left"/>
            </w:pPr>
            <w:r/>
            <w:r>
              <w:t>6</w:t>
            </w:r>
          </w:p>
        </w:tc>
        <w:tc>
          <w:tcPr>
            <w:tcW w:type="dxa" w:w="1152"/>
            <w:vMerge w:val="restart"/>
          </w:tcPr>
          <w:p>
            <w:pPr>
              <w:pStyle w:val="TableText"/>
              <w:keepNext/>
              <w:jc w:val="left"/>
            </w:pPr>
            <w:r/>
            <w:r>
              <w:rPr>
                <w:i/>
              </w:rPr>
              <w:t>píngzi</w:t>
            </w:r>
            <w:r>
              <w:br/>
            </w:r>
            <w:r>
              <w:t>“bottle”</w:t>
            </w:r>
          </w:p>
        </w:tc>
        <w:tc>
          <w:tcPr>
            <w:tcW w:type="dxa" w:w="1368"/>
            <w:vMerge w:val="restart"/>
          </w:tcPr>
          <w:p>
            <w:pPr>
              <w:pStyle w:val="TableText"/>
              <w:keepNext/>
              <w:jc w:val="left"/>
            </w:pPr>
            <w:r/>
            <w:r>
              <w:rPr>
                <w:i/>
              </w:rPr>
              <w:t>dǎo</w:t>
            </w:r>
            <w:r>
              <w:br/>
            </w:r>
            <w:r>
              <w:t>“fallen”</w:t>
            </w:r>
          </w:p>
        </w:tc>
        <w:tc>
          <w:tcPr>
            <w:tcW w:type="dxa" w:w="1080"/>
          </w:tcPr>
          <w:p>
            <w:pPr>
              <w:pStyle w:val="TableText"/>
              <w:keepNext/>
              <w:jc w:val="left"/>
            </w:pPr>
            <w:r/>
            <w:r>
              <w:rPr>
                <w:i/>
              </w:rPr>
              <w:t>tī</w:t>
            </w:r>
            <w:r>
              <w:br/>
            </w:r>
            <w:r>
              <w:t>“kick”</w:t>
            </w:r>
          </w:p>
        </w:tc>
        <w:tc>
          <w:tcPr>
            <w:tcW w:type="dxa" w:w="1368"/>
          </w:tcPr>
          <w:p>
            <w:pPr>
              <w:pStyle w:val="TableText"/>
              <w:keepNext/>
              <w:jc w:val="left"/>
            </w:pPr>
            <w:r/>
            <w:r>
              <w:rPr>
                <w:i/>
              </w:rPr>
              <w:t>tī-dǎo</w:t>
            </w:r>
          </w:p>
        </w:tc>
        <w:tc>
          <w:tcPr>
            <w:tcW w:type="dxa" w:w="1368"/>
          </w:tcPr>
          <w:p>
            <w:pPr>
              <w:pStyle w:val="TableText"/>
              <w:keepNext/>
              <w:jc w:val="center"/>
            </w:pPr>
            <w:r/>
            <w:r>
              <w:t>88.05 (12.70)</w:t>
            </w:r>
          </w:p>
        </w:tc>
        <w:tc>
          <w:tcPr>
            <w:tcW w:type="dxa" w:w="1296"/>
          </w:tcPr>
          <w:p>
            <w:pPr>
              <w:pStyle w:val="TableText"/>
              <w:keepNext/>
              <w:jc w:val="center"/>
            </w:pPr>
            <w:r/>
            <w:r>
              <w:t>5.75 (1.02)</w:t>
            </w:r>
          </w:p>
        </w:tc>
        <w:tc>
          <w:tcPr>
            <w:tcW w:type="dxa" w:w="1224"/>
          </w:tcPr>
          <w:p>
            <w:pPr>
              <w:pStyle w:val="TableText"/>
              <w:keepNext/>
              <w:jc w:val="center"/>
            </w:pPr>
            <w:r/>
            <w:r>
              <w:t>480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tuī</w:t>
            </w:r>
            <w:r>
              <w:br/>
            </w:r>
            <w:r>
              <w:t>“push”</w:t>
            </w:r>
          </w:p>
        </w:tc>
        <w:tc>
          <w:tcPr>
            <w:tcW w:type="dxa" w:w="1368"/>
          </w:tcPr>
          <w:p>
            <w:pPr>
              <w:pStyle w:val="TableText"/>
              <w:keepNext/>
              <w:jc w:val="left"/>
            </w:pPr>
            <w:r/>
            <w:r>
              <w:rPr>
                <w:i/>
              </w:rPr>
              <w:t>tuī-dǎo</w:t>
            </w:r>
          </w:p>
        </w:tc>
        <w:tc>
          <w:tcPr>
            <w:tcW w:type="dxa" w:w="1368"/>
          </w:tcPr>
          <w:p>
            <w:pPr>
              <w:pStyle w:val="TableText"/>
              <w:keepNext/>
              <w:jc w:val="center"/>
            </w:pPr>
            <w:r/>
            <w:r>
              <w:t>56.65 (26.29)</w:t>
            </w:r>
          </w:p>
        </w:tc>
        <w:tc>
          <w:tcPr>
            <w:tcW w:type="dxa" w:w="1296"/>
          </w:tcPr>
          <w:p>
            <w:pPr>
              <w:pStyle w:val="TableText"/>
              <w:keepNext/>
              <w:jc w:val="center"/>
            </w:pPr>
            <w:r/>
            <w:r>
              <w:t>4.45 (1.64)</w:t>
            </w:r>
          </w:p>
        </w:tc>
        <w:tc>
          <w:tcPr>
            <w:tcW w:type="dxa" w:w="1224"/>
          </w:tcPr>
          <w:p>
            <w:pPr>
              <w:pStyle w:val="TableText"/>
              <w:keepNext/>
              <w:jc w:val="center"/>
            </w:pPr>
            <w:r/>
            <w:r>
              <w:t>5,750ᶜ</w:t>
            </w:r>
          </w:p>
        </w:tc>
      </w:tr>
      <w:tr>
        <w:trPr>
          <w:cantSplit/>
        </w:trPr>
        <w:tc>
          <w:tcPr>
            <w:tcW w:type="dxa" w:w="504"/>
            <w:vMerge w:val="restart"/>
          </w:tcPr>
          <w:p>
            <w:pPr>
              <w:pStyle w:val="TableText"/>
              <w:keepNext/>
              <w:jc w:val="left"/>
            </w:pPr>
            <w:r/>
            <w:r>
              <w:t>7ᵃ</w:t>
            </w:r>
          </w:p>
        </w:tc>
        <w:tc>
          <w:tcPr>
            <w:tcW w:type="dxa" w:w="1152"/>
            <w:vMerge w:val="restart"/>
          </w:tcPr>
          <w:p>
            <w:pPr>
              <w:pStyle w:val="TableText"/>
              <w:keepNext/>
              <w:jc w:val="left"/>
            </w:pPr>
            <w:r/>
            <w:r>
              <w:rPr>
                <w:i/>
              </w:rPr>
              <w:t>Xiǎo Wáng</w:t>
            </w:r>
            <w:r>
              <w:br/>
            </w:r>
            <w:r>
              <w:t>“a person”</w:t>
            </w:r>
          </w:p>
        </w:tc>
        <w:tc>
          <w:tcPr>
            <w:tcW w:type="dxa" w:w="1368"/>
            <w:vMerge w:val="restart"/>
          </w:tcPr>
          <w:p>
            <w:pPr>
              <w:pStyle w:val="TableText"/>
              <w:keepNext/>
              <w:jc w:val="left"/>
            </w:pPr>
            <w:r/>
            <w:r>
              <w:rPr>
                <w:i/>
              </w:rPr>
              <w:t>xǐng</w:t>
            </w:r>
            <w:r>
              <w:br/>
            </w:r>
            <w:r>
              <w:t>“awake”</w:t>
            </w:r>
          </w:p>
        </w:tc>
        <w:tc>
          <w:tcPr>
            <w:tcW w:type="dxa" w:w="1080"/>
          </w:tcPr>
          <w:p>
            <w:pPr>
              <w:pStyle w:val="TableText"/>
              <w:keepNext/>
              <w:jc w:val="left"/>
            </w:pPr>
            <w:r/>
            <w:r>
              <w:rPr>
                <w:i/>
              </w:rPr>
              <w:t>qiā</w:t>
            </w:r>
            <w:r>
              <w:br/>
            </w:r>
            <w:r>
              <w:t>“pinch”</w:t>
            </w:r>
          </w:p>
        </w:tc>
        <w:tc>
          <w:tcPr>
            <w:tcW w:type="dxa" w:w="1368"/>
          </w:tcPr>
          <w:p>
            <w:pPr>
              <w:pStyle w:val="TableText"/>
              <w:keepNext/>
              <w:jc w:val="left"/>
            </w:pPr>
            <w:r/>
            <w:r>
              <w:rPr>
                <w:i/>
              </w:rPr>
              <w:t>qiā-xǐng</w:t>
            </w:r>
          </w:p>
        </w:tc>
        <w:tc>
          <w:tcPr>
            <w:tcW w:type="dxa" w:w="1368"/>
          </w:tcPr>
          <w:p>
            <w:pPr>
              <w:pStyle w:val="TableText"/>
              <w:keepNext/>
              <w:jc w:val="center"/>
            </w:pPr>
            <w:r/>
            <w:r>
              <w:t>70.30 (20.83)</w:t>
            </w:r>
          </w:p>
        </w:tc>
        <w:tc>
          <w:tcPr>
            <w:tcW w:type="dxa" w:w="1296"/>
          </w:tcPr>
          <w:p>
            <w:pPr>
              <w:pStyle w:val="TableText"/>
              <w:keepNext/>
              <w:jc w:val="center"/>
            </w:pPr>
            <w:r/>
            <w:r>
              <w:t>5.05 (1.54)</w:t>
            </w:r>
          </w:p>
        </w:tc>
        <w:tc>
          <w:tcPr>
            <w:tcW w:type="dxa" w:w="1224"/>
          </w:tcPr>
          <w:p>
            <w:pPr>
              <w:pStyle w:val="TableText"/>
              <w:keepNext/>
              <w:jc w:val="center"/>
            </w:pPr>
            <w:r/>
            <w:r>
              <w:t>7</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jiào</w:t>
            </w:r>
            <w:r>
              <w:br/>
            </w:r>
            <w:r>
              <w:t>“call”</w:t>
            </w:r>
          </w:p>
        </w:tc>
        <w:tc>
          <w:tcPr>
            <w:tcW w:type="dxa" w:w="1368"/>
          </w:tcPr>
          <w:p>
            <w:pPr>
              <w:pStyle w:val="TableText"/>
              <w:keepNext/>
              <w:jc w:val="left"/>
            </w:pPr>
            <w:r/>
            <w:r>
              <w:rPr>
                <w:i/>
              </w:rPr>
              <w:t>jiào-xǐng</w:t>
            </w:r>
          </w:p>
        </w:tc>
        <w:tc>
          <w:tcPr>
            <w:tcW w:type="dxa" w:w="1368"/>
          </w:tcPr>
          <w:p>
            <w:pPr>
              <w:pStyle w:val="TableText"/>
              <w:keepNext/>
              <w:jc w:val="center"/>
            </w:pPr>
            <w:r/>
            <w:r>
              <w:t>55.95 (20.78)</w:t>
            </w:r>
          </w:p>
        </w:tc>
        <w:tc>
          <w:tcPr>
            <w:tcW w:type="dxa" w:w="1296"/>
          </w:tcPr>
          <w:p>
            <w:pPr>
              <w:pStyle w:val="TableText"/>
              <w:keepNext/>
              <w:jc w:val="center"/>
            </w:pPr>
            <w:r/>
            <w:r>
              <w:t>6.05 (1.15)</w:t>
            </w:r>
          </w:p>
        </w:tc>
        <w:tc>
          <w:tcPr>
            <w:tcW w:type="dxa" w:w="1224"/>
          </w:tcPr>
          <w:p>
            <w:pPr>
              <w:pStyle w:val="TableText"/>
              <w:keepNext/>
              <w:jc w:val="center"/>
            </w:pPr>
            <w:r/>
            <w:r>
              <w:t>4,560</w:t>
            </w:r>
          </w:p>
        </w:tc>
      </w:tr>
      <w:tr>
        <w:trPr>
          <w:cantSplit/>
        </w:trPr>
        <w:tc>
          <w:tcPr>
            <w:tcW w:type="dxa" w:w="504"/>
            <w:vMerge w:val="restart"/>
          </w:tcPr>
          <w:p>
            <w:pPr>
              <w:pStyle w:val="TableText"/>
              <w:keepNext/>
              <w:jc w:val="left"/>
            </w:pPr>
            <w:r/>
            <w:r>
              <w:t>8ᵃ</w:t>
            </w:r>
          </w:p>
        </w:tc>
        <w:tc>
          <w:tcPr>
            <w:tcW w:type="dxa" w:w="1152"/>
            <w:vMerge w:val="restart"/>
          </w:tcPr>
          <w:p>
            <w:pPr>
              <w:pStyle w:val="TableText"/>
              <w:keepNext/>
              <w:jc w:val="left"/>
            </w:pPr>
            <w:r/>
            <w:r>
              <w:rPr>
                <w:i/>
              </w:rPr>
              <w:t>shǒuzhǎng</w:t>
            </w:r>
            <w:r>
              <w:br/>
            </w:r>
            <w:r>
              <w:t>“palm”</w:t>
            </w:r>
          </w:p>
        </w:tc>
        <w:tc>
          <w:tcPr>
            <w:tcW w:type="dxa" w:w="1368"/>
            <w:vMerge w:val="restart"/>
          </w:tcPr>
          <w:p>
            <w:pPr>
              <w:pStyle w:val="TableText"/>
              <w:keepNext/>
              <w:jc w:val="left"/>
            </w:pPr>
            <w:r/>
            <w:r>
              <w:rPr>
                <w:i/>
              </w:rPr>
              <w:t>hóng</w:t>
            </w:r>
            <w:r>
              <w:br/>
            </w:r>
            <w:r>
              <w:t>“red”</w:t>
            </w:r>
          </w:p>
        </w:tc>
        <w:tc>
          <w:tcPr>
            <w:tcW w:type="dxa" w:w="1080"/>
          </w:tcPr>
          <w:p>
            <w:pPr>
              <w:pStyle w:val="TableText"/>
              <w:keepNext/>
              <w:jc w:val="left"/>
            </w:pPr>
            <w:r/>
            <w:r>
              <w:rPr>
                <w:i/>
              </w:rPr>
              <w:t>tú</w:t>
            </w:r>
            <w:r>
              <w:br/>
            </w:r>
            <w:r>
              <w:t>“paint”</w:t>
            </w:r>
          </w:p>
        </w:tc>
        <w:tc>
          <w:tcPr>
            <w:tcW w:type="dxa" w:w="1368"/>
          </w:tcPr>
          <w:p>
            <w:pPr>
              <w:pStyle w:val="TableText"/>
              <w:keepNext/>
              <w:jc w:val="left"/>
            </w:pPr>
            <w:r/>
            <w:r>
              <w:rPr>
                <w:i/>
              </w:rPr>
              <w:t>tú-hóng</w:t>
            </w:r>
          </w:p>
        </w:tc>
        <w:tc>
          <w:tcPr>
            <w:tcW w:type="dxa" w:w="1368"/>
          </w:tcPr>
          <w:p>
            <w:pPr>
              <w:pStyle w:val="TableText"/>
              <w:keepNext/>
              <w:jc w:val="center"/>
            </w:pPr>
            <w:r/>
            <w:r>
              <w:t>66.30 (30.68)</w:t>
            </w:r>
          </w:p>
        </w:tc>
        <w:tc>
          <w:tcPr>
            <w:tcW w:type="dxa" w:w="1296"/>
          </w:tcPr>
          <w:p>
            <w:pPr>
              <w:pStyle w:val="TableText"/>
              <w:keepNext/>
              <w:jc w:val="center"/>
            </w:pPr>
            <w:r/>
            <w:r>
              <w:t>4.70 (2.25)</w:t>
            </w:r>
          </w:p>
        </w:tc>
        <w:tc>
          <w:tcPr>
            <w:tcW w:type="dxa" w:w="1224"/>
          </w:tcPr>
          <w:p>
            <w:pPr>
              <w:pStyle w:val="TableText"/>
              <w:keepNext/>
              <w:jc w:val="center"/>
            </w:pPr>
            <w:r/>
            <w:r>
              <w:t>110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náo</w:t>
            </w:r>
            <w:r>
              <w:br/>
            </w:r>
            <w:r>
              <w:t>“scratch”</w:t>
            </w:r>
          </w:p>
        </w:tc>
        <w:tc>
          <w:tcPr>
            <w:tcW w:type="dxa" w:w="1368"/>
          </w:tcPr>
          <w:p>
            <w:pPr>
              <w:pStyle w:val="TableText"/>
              <w:keepNext/>
              <w:jc w:val="left"/>
            </w:pPr>
            <w:r/>
            <w:r>
              <w:rPr>
                <w:i/>
              </w:rPr>
              <w:t>náo-hóng</w:t>
            </w:r>
          </w:p>
        </w:tc>
        <w:tc>
          <w:tcPr>
            <w:tcW w:type="dxa" w:w="1368"/>
          </w:tcPr>
          <w:p>
            <w:pPr>
              <w:pStyle w:val="TableText"/>
              <w:keepNext/>
              <w:jc w:val="center"/>
            </w:pPr>
            <w:r/>
            <w:r>
              <w:t>49.90 (25.37)</w:t>
            </w:r>
          </w:p>
        </w:tc>
        <w:tc>
          <w:tcPr>
            <w:tcW w:type="dxa" w:w="1296"/>
          </w:tcPr>
          <w:p>
            <w:pPr>
              <w:pStyle w:val="TableText"/>
              <w:keepNext/>
              <w:jc w:val="center"/>
            </w:pPr>
            <w:r/>
            <w:r>
              <w:t>4.25 (1.55)</w:t>
            </w:r>
          </w:p>
        </w:tc>
        <w:tc>
          <w:tcPr>
            <w:tcW w:type="dxa" w:w="1224"/>
          </w:tcPr>
          <w:p>
            <w:pPr>
              <w:pStyle w:val="TableText"/>
              <w:keepNext/>
              <w:jc w:val="center"/>
            </w:pPr>
            <w:r/>
            <w:r>
              <w:t>1</w:t>
            </w:r>
          </w:p>
        </w:tc>
      </w:tr>
      <w:tr>
        <w:trPr>
          <w:cantSplit/>
        </w:trPr>
        <w:tc>
          <w:tcPr>
            <w:tcW w:type="dxa" w:w="504"/>
            <w:vMerge w:val="restart"/>
          </w:tcPr>
          <w:p>
            <w:pPr>
              <w:pStyle w:val="TableText"/>
              <w:keepNext/>
              <w:jc w:val="left"/>
            </w:pPr>
            <w:r/>
            <w:r>
              <w:t>9</w:t>
            </w:r>
          </w:p>
        </w:tc>
        <w:tc>
          <w:tcPr>
            <w:tcW w:type="dxa" w:w="1152"/>
            <w:vMerge w:val="restart"/>
          </w:tcPr>
          <w:p>
            <w:pPr>
              <w:pStyle w:val="TableText"/>
              <w:keepNext/>
              <w:jc w:val="left"/>
            </w:pPr>
            <w:r/>
            <w:r>
              <w:rPr>
                <w:i/>
              </w:rPr>
              <w:t>jìngzi</w:t>
            </w:r>
            <w:r>
              <w:br/>
            </w:r>
            <w:r>
              <w:t>“mirror”</w:t>
            </w:r>
          </w:p>
        </w:tc>
        <w:tc>
          <w:tcPr>
            <w:tcW w:type="dxa" w:w="1368"/>
            <w:vMerge w:val="restart"/>
          </w:tcPr>
          <w:p>
            <w:pPr>
              <w:pStyle w:val="TableText"/>
              <w:keepNext/>
              <w:jc w:val="left"/>
            </w:pPr>
            <w:r/>
            <w:r>
              <w:rPr>
                <w:i/>
              </w:rPr>
              <w:t>gānjìng</w:t>
            </w:r>
            <w:r>
              <w:br/>
            </w:r>
            <w:r>
              <w:t>“clean”</w:t>
            </w:r>
          </w:p>
        </w:tc>
        <w:tc>
          <w:tcPr>
            <w:tcW w:type="dxa" w:w="1080"/>
          </w:tcPr>
          <w:p>
            <w:pPr>
              <w:pStyle w:val="TableText"/>
              <w:keepNext/>
              <w:jc w:val="left"/>
            </w:pPr>
            <w:r/>
            <w:r>
              <w:rPr>
                <w:i/>
              </w:rPr>
              <w:t>cā</w:t>
            </w:r>
            <w:r>
              <w:br/>
            </w:r>
            <w:r>
              <w:t>“wipe”</w:t>
            </w:r>
          </w:p>
        </w:tc>
        <w:tc>
          <w:tcPr>
            <w:tcW w:type="dxa" w:w="1368"/>
          </w:tcPr>
          <w:p>
            <w:pPr>
              <w:pStyle w:val="TableText"/>
              <w:keepNext/>
              <w:jc w:val="left"/>
            </w:pPr>
            <w:r/>
            <w:r>
              <w:rPr>
                <w:i/>
              </w:rPr>
              <w:t>cā-gānjìng</w:t>
            </w:r>
          </w:p>
        </w:tc>
        <w:tc>
          <w:tcPr>
            <w:tcW w:type="dxa" w:w="1368"/>
          </w:tcPr>
          <w:p>
            <w:pPr>
              <w:pStyle w:val="TableText"/>
              <w:keepNext/>
              <w:jc w:val="center"/>
            </w:pPr>
            <w:r/>
            <w:r>
              <w:t>77.15 (19.68)</w:t>
            </w:r>
          </w:p>
        </w:tc>
        <w:tc>
          <w:tcPr>
            <w:tcW w:type="dxa" w:w="1296"/>
          </w:tcPr>
          <w:p>
            <w:pPr>
              <w:pStyle w:val="TableText"/>
              <w:keepNext/>
              <w:jc w:val="center"/>
            </w:pPr>
            <w:r/>
            <w:r>
              <w:t>6.65 (0.75)</w:t>
            </w:r>
          </w:p>
        </w:tc>
        <w:tc>
          <w:tcPr>
            <w:tcW w:type="dxa" w:w="1224"/>
          </w:tcPr>
          <w:p>
            <w:pPr>
              <w:pStyle w:val="TableText"/>
              <w:keepNext/>
              <w:jc w:val="center"/>
            </w:pPr>
            <w:r/>
            <w:r>
              <w:t>1,840</w:t>
            </w:r>
          </w:p>
        </w:tc>
      </w:tr>
      <w:tr>
        <w:trPr>
          <w:cantSplit/>
        </w:trPr>
        <w:tc>
          <w:tcPr>
            <w:tcW w:type="dxa" w:w="504"/>
            <w:vMerge/>
          </w:tcPr>
          <w:p/>
        </w:tc>
        <w:tc>
          <w:tcPr>
            <w:tcW w:type="dxa" w:w="1152"/>
            <w:vMerge/>
          </w:tcPr>
          <w:p/>
        </w:tc>
        <w:tc>
          <w:tcPr>
            <w:tcW w:type="dxa" w:w="1368"/>
            <w:vMerge/>
          </w:tcPr>
          <w:p/>
        </w:tc>
        <w:tc>
          <w:tcPr>
            <w:tcW w:type="dxa" w:w="1080"/>
          </w:tcPr>
          <w:p>
            <w:pPr>
              <w:pStyle w:val="TableText"/>
              <w:keepNext/>
              <w:jc w:val="left"/>
            </w:pPr>
            <w:r/>
            <w:r>
              <w:rPr>
                <w:i/>
              </w:rPr>
              <w:t>chōng</w:t>
            </w:r>
            <w:r>
              <w:br/>
            </w:r>
            <w:r>
              <w:t>“rinse”</w:t>
            </w:r>
          </w:p>
        </w:tc>
        <w:tc>
          <w:tcPr>
            <w:tcW w:type="dxa" w:w="1368"/>
          </w:tcPr>
          <w:p>
            <w:pPr>
              <w:pStyle w:val="TableText"/>
              <w:keepNext/>
              <w:jc w:val="left"/>
            </w:pPr>
            <w:r/>
            <w:r>
              <w:rPr>
                <w:i/>
              </w:rPr>
              <w:t>chōng-gānjìng</w:t>
            </w:r>
          </w:p>
        </w:tc>
        <w:tc>
          <w:tcPr>
            <w:tcW w:type="dxa" w:w="1368"/>
          </w:tcPr>
          <w:p>
            <w:pPr>
              <w:pStyle w:val="TableText"/>
              <w:keepNext/>
              <w:jc w:val="center"/>
            </w:pPr>
            <w:r/>
            <w:r>
              <w:t>43.20 (21.14)</w:t>
            </w:r>
          </w:p>
        </w:tc>
        <w:tc>
          <w:tcPr>
            <w:tcW w:type="dxa" w:w="1296"/>
          </w:tcPr>
          <w:p>
            <w:pPr>
              <w:pStyle w:val="TableText"/>
              <w:keepNext/>
              <w:jc w:val="center"/>
            </w:pPr>
            <w:r/>
            <w:r>
              <w:t>2.95 (1.67)</w:t>
            </w:r>
          </w:p>
        </w:tc>
        <w:tc>
          <w:tcPr>
            <w:tcW w:type="dxa" w:w="1224"/>
          </w:tcPr>
          <w:p>
            <w:pPr>
              <w:pStyle w:val="TableText"/>
              <w:keepNext/>
              <w:jc w:val="center"/>
            </w:pPr>
            <w:r/>
            <w:r>
              <w:t>310</w:t>
            </w:r>
          </w:p>
        </w:tc>
      </w:tr>
      <w:tr>
        <w:trPr>
          <w:cantSplit/>
        </w:trPr>
        <w:tc>
          <w:tcPr>
            <w:tcW w:type="dxa" w:w="504"/>
            <w:vMerge w:val="restart"/>
          </w:tcPr>
          <w:p>
            <w:pPr>
              <w:pStyle w:val="TableText"/>
              <w:keepNext/>
              <w:jc w:val="left"/>
            </w:pPr>
            <w:r/>
            <w:r>
              <w:t>10</w:t>
            </w:r>
          </w:p>
        </w:tc>
        <w:tc>
          <w:tcPr>
            <w:tcW w:type="dxa" w:w="1152"/>
            <w:vMerge w:val="restart"/>
          </w:tcPr>
          <w:p>
            <w:pPr>
              <w:pStyle w:val="TableText"/>
              <w:keepNext/>
              <w:jc w:val="left"/>
            </w:pPr>
            <w:r/>
            <w:r>
              <w:rPr>
                <w:i/>
              </w:rPr>
              <w:t>hétao</w:t>
            </w:r>
            <w:r>
              <w:br/>
            </w:r>
            <w:r>
              <w:t>“walnut”</w:t>
            </w:r>
          </w:p>
        </w:tc>
        <w:tc>
          <w:tcPr>
            <w:tcW w:type="dxa" w:w="1368"/>
            <w:vMerge w:val="restart"/>
          </w:tcPr>
          <w:p>
            <w:pPr>
              <w:pStyle w:val="TableText"/>
              <w:keepNext/>
              <w:jc w:val="left"/>
            </w:pPr>
            <w:r/>
            <w:r>
              <w:rPr>
                <w:i/>
              </w:rPr>
              <w:t>suì</w:t>
            </w:r>
            <w:r>
              <w:br/>
            </w:r>
            <w:r>
              <w:t>“broken”</w:t>
            </w:r>
          </w:p>
        </w:tc>
        <w:tc>
          <w:tcPr>
            <w:tcW w:type="dxa" w:w="1080"/>
          </w:tcPr>
          <w:p>
            <w:pPr>
              <w:pStyle w:val="TableText"/>
              <w:keepNext/>
              <w:jc w:val="left"/>
            </w:pPr>
            <w:r/>
            <w:r>
              <w:rPr>
                <w:i/>
              </w:rPr>
              <w:t>jiā</w:t>
            </w:r>
            <w:r>
              <w:br/>
            </w:r>
            <w:r>
              <w:t>“clamp”</w:t>
            </w:r>
          </w:p>
        </w:tc>
        <w:tc>
          <w:tcPr>
            <w:tcW w:type="dxa" w:w="1368"/>
          </w:tcPr>
          <w:p>
            <w:pPr>
              <w:pStyle w:val="TableText"/>
              <w:keepNext/>
              <w:jc w:val="left"/>
            </w:pPr>
            <w:r/>
            <w:r>
              <w:rPr>
                <w:i/>
              </w:rPr>
              <w:t>jiā-suì</w:t>
            </w:r>
          </w:p>
        </w:tc>
        <w:tc>
          <w:tcPr>
            <w:tcW w:type="dxa" w:w="1368"/>
          </w:tcPr>
          <w:p>
            <w:pPr>
              <w:pStyle w:val="TableText"/>
              <w:keepNext/>
              <w:jc w:val="center"/>
            </w:pPr>
            <w:r/>
            <w:r>
              <w:t>72.30 (27.01)</w:t>
            </w:r>
          </w:p>
        </w:tc>
        <w:tc>
          <w:tcPr>
            <w:tcW w:type="dxa" w:w="1296"/>
          </w:tcPr>
          <w:p>
            <w:pPr>
              <w:pStyle w:val="TableText"/>
              <w:keepNext/>
              <w:jc w:val="center"/>
            </w:pPr>
            <w:r/>
            <w:r>
              <w:t>6.20 (1.11)</w:t>
            </w:r>
          </w:p>
        </w:tc>
        <w:tc>
          <w:tcPr>
            <w:tcW w:type="dxa" w:w="1224"/>
          </w:tcPr>
          <w:p>
            <w:pPr>
              <w:pStyle w:val="TableText"/>
              <w:keepNext/>
              <w:jc w:val="center"/>
            </w:pPr>
            <w:r/>
            <w:r>
              <w:t>48</w:t>
            </w:r>
          </w:p>
        </w:tc>
      </w:tr>
      <w:tr>
        <w:trPr>
          <w:cantSplit/>
        </w:trPr>
        <w:tc>
          <w:tcPr>
            <w:tcW w:type="dxa" w:w="504"/>
            <w:vMerge/>
          </w:tcPr>
          <w:p/>
        </w:tc>
        <w:tc>
          <w:tcPr>
            <w:tcW w:type="dxa" w:w="1152"/>
            <w:vMerge/>
          </w:tcPr>
          <w:p/>
        </w:tc>
        <w:tc>
          <w:tcPr>
            <w:tcW w:type="dxa" w:w="1368"/>
            <w:vMerge/>
          </w:tcPr>
          <w:p/>
        </w:tc>
        <w:tc>
          <w:tcPr>
            <w:tcW w:type="dxa" w:w="1080"/>
          </w:tcPr>
          <w:p>
            <w:pPr>
              <w:pStyle w:val="TableText"/>
              <w:jc w:val="left"/>
            </w:pPr>
            <w:r/>
            <w:r>
              <w:rPr>
                <w:i/>
              </w:rPr>
              <w:t>chuí</w:t>
            </w:r>
            <w:r>
              <w:br/>
            </w:r>
            <w:r>
              <w:t>“hammer”</w:t>
            </w:r>
          </w:p>
        </w:tc>
        <w:tc>
          <w:tcPr>
            <w:tcW w:type="dxa" w:w="1368"/>
          </w:tcPr>
          <w:p>
            <w:pPr>
              <w:pStyle w:val="TableText"/>
              <w:jc w:val="left"/>
            </w:pPr>
            <w:r/>
            <w:r>
              <w:rPr>
                <w:i/>
              </w:rPr>
              <w:t>chuí-suì</w:t>
            </w:r>
          </w:p>
        </w:tc>
        <w:tc>
          <w:tcPr>
            <w:tcW w:type="dxa" w:w="1368"/>
          </w:tcPr>
          <w:p>
            <w:pPr>
              <w:pStyle w:val="TableText"/>
              <w:jc w:val="center"/>
            </w:pPr>
            <w:r/>
            <w:r>
              <w:t>42.15 (26.52)</w:t>
            </w:r>
          </w:p>
        </w:tc>
        <w:tc>
          <w:tcPr>
            <w:tcW w:type="dxa" w:w="1296"/>
          </w:tcPr>
          <w:p>
            <w:pPr>
              <w:pStyle w:val="TableText"/>
              <w:jc w:val="center"/>
            </w:pPr>
            <w:r/>
            <w:r>
              <w:t>4.35 (1.81)</w:t>
            </w:r>
          </w:p>
        </w:tc>
        <w:tc>
          <w:tcPr>
            <w:tcW w:type="dxa" w:w="1224"/>
          </w:tcPr>
          <w:p>
            <w:pPr>
              <w:pStyle w:val="TableText"/>
              <w:jc w:val="center"/>
            </w:pPr>
            <w:r/>
            <w:r>
              <w:t>13</w:t>
            </w:r>
          </w:p>
        </w:tc>
      </w:tr>
    </w:tbl>
    <w:p>
      <w:pPr>
        <w:pStyle w:val="TableNote"/>
      </w:pPr>
      <w:r>
        <w:rPr>
          <w:i/>
        </w:rPr>
        <w:t>Note.</w:t>
      </w:r>
      <w:r>
        <w:t xml:space="preserve"> Likelihood was rated on a scale from 0 to 100 and typicality on a scale from 1 to 7 (</w:t>
      </w:r>
      <w:r>
        <w:rPr>
          <w:i/>
        </w:rPr>
        <w:t>n</w:t>
      </w:r>
      <w:r>
        <w:t xml:space="preserve"> = 20 raters). In each pair, the first row is the expected stronger-association expression. CCL documents are numbers of documents in the CCL corpus containing the RVC in its resultative use. Counts of 100 or more are estimates (raw document count × proportion of resultative uses in a checked sample), rounded to the nearest 10; counts below 100 are based on checking all matches (see text). ᵃ Excluded from the analyses of Experiment 1 (see Pair Selection); set labels follow the original design. ᵇ Mostly figurative uses. ᶜ Includes many abstract uses. ᵈ Midpoint of 11–14; some matches could not be classified with certainty.</w:t>
      </w:r>
    </w:p>
    <w:p>
      <w:pPr/>
      <w:r>
        <w:t xml:space="preserve">Each of the 20 actions was filmed in a full-result and a zero-result version, yielding 40 critical videos (5.0–25.0 s, </w:t>
      </w:r>
      <w:r>
        <w:rPr>
          <w:i/>
        </w:rPr>
        <w:t>M</w:t>
      </w:r>
      <w:r>
        <w:t xml:space="preserve"> = 11.4 s). In the full-result version, the action brings about the target result (e.g., the lychee is peeled open); in the zero-result version, the actor performs the same action, but the object is left perceptibly unchanged (e.g., the lychee remains closed). The two versions differ only in this outcome. Each video began and ended with the actor still for 1 s. Eight filler videos showed actions without an affected object (e.g., squatting, shaking one’s head). </w:t>
      </w:r>
      <w:r>
        <w:rPr>
          <w:highlight w:val="yellow"/>
        </w:rPr>
        <w:t>⟦Figure 1：一对 full-result 与 zero-result 视频的截图（可沿用 0507 稿 Figures 1–2）⟧</w:t>
      </w:r>
    </w:p>
    <w:p>
      <w:pPr>
        <w:pStyle w:val="Heading2"/>
      </w:pPr>
      <w:r>
        <w:t>Verb–Video Correspondence</w:t>
      </w:r>
    </w:p>
    <w:p>
      <w:pPr/>
      <w:r>
        <w:t xml:space="preserve">Because each expression was paired with its own video, the comparison between the two members of a pair is also a comparison between two videos. A norming study therefore assessed whether each video elicited the intended V1. Sixteen adults (20–24 years, </w:t>
      </w:r>
      <w:r>
        <w:rPr>
          <w:i/>
        </w:rPr>
        <w:t>M</w:t>
      </w:r>
      <w:r>
        <w:t xml:space="preserve"> = 22.4; 13 female) watched the 20 zero-result videos with the final 30% removed, so that their descriptions would focus on the action rather than the outcome. Each participant saw the 10 videos of one set and described each in a full sentence. If the intended V1 did not appear, the participant was asked for another description; if it still did not appear after two attempts, the participant rated how natural the intended V1 was as a description of the action (1 = </w:t>
      </w:r>
      <w:r>
        <w:rPr>
          <w:i/>
        </w:rPr>
        <w:t>very unnatural</w:t>
      </w:r>
      <w:r>
        <w:t xml:space="preserve">, 5 = </w:t>
      </w:r>
      <w:r>
        <w:rPr>
          <w:i/>
        </w:rPr>
        <w:t>very natural</w:t>
      </w:r>
      <w:r>
        <w:t>). The intended V1 appeared in 62% of first descriptions and in 72% of all descriptions; when it did not appear, it was rated as natural (</w:t>
      </w:r>
      <w:r>
        <w:rPr>
          <w:i/>
        </w:rPr>
        <w:t>M</w:t>
      </w:r>
      <w:r>
        <w:t xml:space="preserve"> = 4.32, </w:t>
      </w:r>
      <w:r>
        <w:rPr>
          <w:i/>
        </w:rPr>
        <w:t>SD</w:t>
      </w:r>
      <w:r>
        <w:t xml:space="preserve"> = 0.79, range = 2.67–5). </w:t>
      </w:r>
      <w:r>
        <w:rPr>
          <w:highlight w:val="yellow"/>
        </w:rPr>
        <w:t>⟦逐项数值放附录⟧</w:t>
      </w:r>
      <w:r>
        <w:t xml:space="preserve"> These item-level values are used as a covariate in a sensitivity analysis of Experiment 1.</w:t>
      </w:r>
    </w:p>
    <w:p>
      <w:pPr>
        <w:pStyle w:val="Heading2"/>
      </w:pPr>
      <w:r>
        <w:t>Adult Ratings of Result Likelihood and Action Typicality</w:t>
      </w:r>
    </w:p>
    <w:p>
      <w:pPr/>
      <w:r>
        <w:t xml:space="preserve">Twenty native speakers of Mandarin (21–35 years, </w:t>
      </w:r>
      <w:r>
        <w:rPr>
          <w:i/>
        </w:rPr>
        <w:t>M</w:t>
      </w:r>
      <w:r>
        <w:t xml:space="preserve"> = 28.2) </w:t>
      </w:r>
      <w:r>
        <w:rPr>
          <w:highlight w:val="yellow"/>
        </w:rPr>
        <w:t>⟦性别与招募方式待补⟧</w:t>
      </w:r>
      <w:r>
        <w:t xml:space="preserve"> rated each of the 20 V1–object expressions in two separate blocks. In the likelihood block, they judged how likely the target result was to follow the action named by the expression, on a scale from 0 to 100. In the typicality block, they judged how typical the action was as a means of bringing about that result, on a scale from 1 to 7. </w:t>
      </w:r>
      <w:r>
        <w:rPr>
          <w:highlight w:val="yellow"/>
        </w:rPr>
        <w:t>⟦指导语、量表两端标签及一个题目的原文和译文待补⟧</w:t>
      </w:r>
      <w:r>
        <w:t xml:space="preserve"> Because the ratings were collected for sentences naming the expressions, they characterize the action–result relation that each expression describes, not the particular videos. The order of the two blocks was counterbalanced across four lists, which limits, but does not remove, carryover from one judgment to the other. All raters completed all items, and no ratings were excluded. The ratings were collected after the child data had been collected and initially analyzed with the original Strong/Weak coding; the raters did not take part in the child experiments and received no information about children’s responses. </w:t>
      </w:r>
      <w:r>
        <w:rPr>
          <w:highlight w:val="yellow"/>
        </w:rPr>
        <w:t>⟦待核：确认评定者未参加儿童实验、未获知儿童结果⟧</w:t>
      </w:r>
    </w:p>
    <w:p>
      <w:pPr/>
      <w:r>
        <w:t xml:space="preserve">For each rater and pair, we computed the difference between the ratings of the two expressions (expected stronger- minus expected weaker-association expression) and modeled these differences with crossed random intercepts for raters and pairs, estimated by restricted maximum likelihood. Because there were only 10 pairs, we report 95% confidence intervals from a bootstrap that resampled both raters and pairs, and exact </w:t>
      </w:r>
      <w:r>
        <w:rPr>
          <w:i/>
        </w:rPr>
        <w:t>p</w:t>
      </w:r>
      <w:r>
        <w:t xml:space="preserve"> values from a randomization test that exchanged the two expression labels within pairs across all 2¹⁰ assignments. Across the 10 pairs, the expected stronger-association expressions received higher likelihood ratings (mean difference = 33.06 points, 95% CI [21.74, 44.70], </w:t>
      </w:r>
      <w:r>
        <w:rPr>
          <w:i/>
        </w:rPr>
        <w:t>p</w:t>
      </w:r>
      <w:r>
        <w:t xml:space="preserve"> = .003) and higher typicality ratings (mean difference = 2.45 points, 95% CI [1.25, 3.59], </w:t>
      </w:r>
      <w:r>
        <w:rPr>
          <w:i/>
        </w:rPr>
        <w:t>p</w:t>
      </w:r>
      <w:r>
        <w:t xml:space="preserve"> = .007). The pair-level differences in the two ratings were correlated, </w:t>
      </w:r>
      <w:r>
        <w:rPr>
          <w:i/>
        </w:rPr>
        <w:t>r</w:t>
      </w:r>
      <w:r>
        <w:t xml:space="preserve"> = .79, permutation </w:t>
      </w:r>
      <w:r>
        <w:rPr>
          <w:i/>
        </w:rPr>
        <w:t>p</w:t>
      </w:r>
      <w:r>
        <w:t xml:space="preserve"> = .005. Mean ratings for each expression are shown in Table 1.</w:t>
      </w:r>
    </w:p>
    <w:p>
      <w:pPr>
        <w:pStyle w:val="Heading2"/>
      </w:pPr>
      <w:r>
        <w:t>Pair Selection</w:t>
      </w:r>
    </w:p>
    <w:p>
      <w:pPr/>
      <w:r>
        <w:t>A pair was retained for the analyses of Experiment 1 if the expected stronger-association expression received reliably higher ratings than its partner on both scales, as assessed by a within-rater label-exchange test for each pair (</w:t>
      </w:r>
      <w:r>
        <w:rPr>
          <w:i/>
        </w:rPr>
        <w:t>p</w:t>
      </w:r>
      <w:r>
        <w:t xml:space="preserve"> &lt; .05, uncorrected). Eight pairs met this criterion. Two did not. In Pair 7 (</w:t>
      </w:r>
      <w:r>
        <w:rPr>
          <w:i/>
        </w:rPr>
        <w:t>qiā</w:t>
      </w:r>
      <w:r>
        <w:t xml:space="preserve"> “pinch” vs. </w:t>
      </w:r>
      <w:r>
        <w:rPr>
          <w:i/>
        </w:rPr>
        <w:t>jiào</w:t>
      </w:r>
      <w:r>
        <w:t xml:space="preserve"> “call” a person, with the target result </w:t>
      </w:r>
      <w:r>
        <w:rPr>
          <w:i/>
        </w:rPr>
        <w:t>xǐng</w:t>
      </w:r>
      <w:r>
        <w:t xml:space="preserve"> “awake”), the likelihood difference was in the expected direction, but the typicality difference was reversed (−1.00 points, 95% CI [−1.70, −0.30]). In Pair 8 (</w:t>
      </w:r>
      <w:r>
        <w:rPr>
          <w:i/>
        </w:rPr>
        <w:t>tú</w:t>
      </w:r>
      <w:r>
        <w:t xml:space="preserve"> “paint” vs. </w:t>
      </w:r>
      <w:r>
        <w:rPr>
          <w:i/>
        </w:rPr>
        <w:t>náo</w:t>
      </w:r>
      <w:r>
        <w:t xml:space="preserve"> “scratch” a palm, with the target result </w:t>
      </w:r>
      <w:r>
        <w:rPr>
          <w:i/>
        </w:rPr>
        <w:t>hóng</w:t>
      </w:r>
      <w:r>
        <w:t xml:space="preserve"> “red”), neither difference was reliable (likelihood: 16.40 points, 95% CI [−1.00, 33.40]; typicality: 0.45 points, 95% CI [−0.90, 1.85]). Because action–result association is defined by the two ratings jointly, the actions in these pairs cannot be assigned to the two sets. The two pairs remained in the experimental lists, so all participants saw all 10 pairs, but their trials are excluded from the analyses of Experiment 1. The original design included all 10 pairs, and an initial analysis of the child data used all of them with the original Strong/Weak coding. The adult ratings were collected, and Pairs 7 and 8 excluded, after that analysis. The exclusion criterion refers only to the rating data, not to children’s responses, but because both steps followed an inspection of the child data, analyses with all 10 pairs are reported alongside the main analyses of Experiment 1 (see Sensitivity Analyses).</w:t>
      </w:r>
    </w:p>
    <w:p>
      <w:pPr/>
      <w:r>
        <w:t>In the eight retained pairs, the stronger-association expressions had a mean likelihood rating of 80.08 and a mean typicality rating of 6.34, compared with 42.59 and 3.21 for their weaker-association partners. Within pairs, the likelihood difference ranged from 28.90 to 67.90 points and the typicality difference from 1.30 to 4.60 points. The pair-level tests used for selection are exploratory and uncorrected for multiple comparisons. They identify pairs in which the two ratings agree; they do not establish lexical classes of V1s.</w:t>
      </w:r>
    </w:p>
    <w:p>
      <w:pPr>
        <w:pStyle w:val="Heading2"/>
      </w:pPr>
      <w:r>
        <w:t>Corpus Frequency of the Corresponding RVCs</w:t>
      </w:r>
    </w:p>
    <w:p>
      <w:pPr/>
      <w:r>
        <w:t xml:space="preserve">To describe how conventional each RVC is, we searched the modern Chinese section of the CCL corpus (Zhan et al., 2019) for each of the 20 RVCs. The corpus reports the number of documents in which a string occurs rather than the number of tokens, and string matching also returns sequences in which the two characters belong to different words (e.g., </w:t>
      </w:r>
      <w:r>
        <w:rPr>
          <w:i/>
        </w:rPr>
        <w:t>zhǐhuī | mièhuǒ</w:t>
      </w:r>
      <w:r>
        <w:t xml:space="preserve"> “command | fire-fighting” for </w:t>
      </w:r>
      <w:r>
        <w:rPr>
          <w:i/>
        </w:rPr>
        <w:t>huī-miè</w:t>
      </w:r>
      <w:r>
        <w:t xml:space="preserve">). All matches for the less frequent RVCs were therefore checked by hand. For the more frequent RVCs, matches were segmented automatically to check for word boundaries before V1 and after V2, and 10–12 matches per RVC were checked by hand; for </w:t>
      </w:r>
      <w:r>
        <w:rPr>
          <w:i/>
        </w:rPr>
        <w:t>tú-hóng</w:t>
      </w:r>
      <w:r>
        <w:t xml:space="preserve"> “paint-red,” a sample of 60 matches was checked. Figurative and idiomatic uses (e.g., </w:t>
      </w:r>
      <w:r>
        <w:rPr>
          <w:i/>
        </w:rPr>
        <w:t>sī-pò liǎn</w:t>
      </w:r>
      <w:r>
        <w:t xml:space="preserve"> “tear-torn face,” “fall out with someone”) were counted, because they also indicate that the combination is conventional. For the RVCs checked by sampling, the number of documents was estimated by multiplying the raw document count by the proportion of checked matches that were resultative uses; for the other RVCs, all matches were checked. Document counts are shown in Table 1.</w:t>
      </w:r>
    </w:p>
    <w:p>
      <w:pPr/>
      <w:r>
        <w:t xml:space="preserve">In seven of the eight retained pairs, the RVC formed with the stronger-association V1 occurred in more documents than the RVC formed with its weaker-association partner, in most pairs by more than an order of magnitude. The exception was Pair 6, in which </w:t>
      </w:r>
      <w:r>
        <w:rPr>
          <w:i/>
        </w:rPr>
        <w:t>tuī-dǎo</w:t>
      </w:r>
      <w:r>
        <w:t xml:space="preserve"> “push-fallen” (5,750 documents) was far more frequent than </w:t>
      </w:r>
      <w:r>
        <w:rPr>
          <w:i/>
        </w:rPr>
        <w:t>tī-dǎo</w:t>
      </w:r>
      <w:r>
        <w:t xml:space="preserve"> “kick-fallen” (480), largely because of abstract uses such as </w:t>
      </w:r>
      <w:r>
        <w:rPr>
          <w:i/>
        </w:rPr>
        <w:t>tuīdǎo chónglái</w:t>
      </w:r>
      <w:r>
        <w:t xml:space="preserve"> “tear down and start over.” The pattern does not reflect the frequency of the V1s themselves: As single words, several weaker-association V1s (e.g., </w:t>
      </w:r>
      <w:r>
        <w:rPr>
          <w:i/>
        </w:rPr>
        <w:t>pāi</w:t>
      </w:r>
      <w:r>
        <w:t xml:space="preserve"> “slap,” </w:t>
      </w:r>
      <w:r>
        <w:rPr>
          <w:i/>
        </w:rPr>
        <w:t>àn</w:t>
      </w:r>
      <w:r>
        <w:t xml:space="preserve"> “press,” </w:t>
      </w:r>
      <w:r>
        <w:rPr>
          <w:i/>
        </w:rPr>
        <w:t>tuī</w:t>
      </w:r>
      <w:r>
        <w:t xml:space="preserve"> “push,” </w:t>
      </w:r>
      <w:r>
        <w:rPr>
          <w:i/>
        </w:rPr>
        <w:t>chōng</w:t>
      </w:r>
      <w:r>
        <w:t xml:space="preserve"> “rinse”) are more frequent than their stronger-association partners (Speer, 2022). Most weaker-association RVCs were attested, although rarely; only </w:t>
      </w:r>
      <w:r>
        <w:rPr>
          <w:i/>
        </w:rPr>
        <w:t>huī-miè</w:t>
      </w:r>
      <w:r>
        <w:t xml:space="preserve"> “wave-extinguished” was unattested in its resultative use. The corpus data thus indicate that the RVCs formed with stronger-association V1s are more conventional, not that those formed with weaker-association V1s are unacceptable. Because the CCL corpus consists mainly of written texts, the counts do not describe children’s input. RVC frequency is reported to characterize the materials and is not entered into the analyses.</w:t>
      </w:r>
    </w:p>
    <w:p>
      <w:pPr>
        <w:pStyle w:val="Heading1"/>
      </w:pPr>
      <w:r>
        <w:t>Experiment 1: Comprehension</w:t>
      </w:r>
    </w:p>
    <w:p>
      <w:pPr>
        <w:pStyle w:val="Heading2"/>
      </w:pPr>
      <w:r>
        <w:t>Method</w:t>
      </w:r>
    </w:p>
    <w:p>
      <w:pPr>
        <w:pStyle w:val="Heading3"/>
      </w:pPr>
      <w:r>
        <w:t>Participants</w:t>
      </w:r>
    </w:p>
    <w:p>
      <w:pPr/>
      <w:r>
        <w:t xml:space="preserve">Participants were 32 four-year-olds (14 female; </w:t>
      </w:r>
      <w:r>
        <w:rPr>
          <w:highlight w:val="yellow"/>
        </w:rPr>
        <w:t>⟦age range in y;m, M⟧</w:t>
      </w:r>
      <w:r>
        <w:t xml:space="preserve">), 32 five-year-olds (15 female; </w:t>
      </w:r>
      <w:r>
        <w:rPr>
          <w:highlight w:val="yellow"/>
        </w:rPr>
        <w:t>⟦age range in y;m, M⟧</w:t>
      </w:r>
      <w:r>
        <w:t xml:space="preserve">), and 40 adults (18 female; 18.3–37.2 years, </w:t>
      </w:r>
      <w:r>
        <w:rPr>
          <w:i/>
        </w:rPr>
        <w:t>M</w:t>
      </w:r>
      <w:r>
        <w:t xml:space="preserve"> = 23.1). Children were recruited from two kindergartens in Hunan Province, China, and adults from a university in Beijing. All participants were native speakers of Mandarin with no reported language or intellectual impairments. Guardians and adult participants gave written informed consent under a protocol approved by the university’s institutional review board. Children received a book as a gift, and adults received 10 RMB. Sample size was set before data collection at 32 children per age group, following previous studies of Mandarin verb comprehension (Chen, 2017; J. Liu, 2018).</w:t>
      </w:r>
    </w:p>
    <w:p>
      <w:pPr>
        <w:pStyle w:val="Heading3"/>
      </w:pPr>
      <w:r>
        <w:t>Design and Materials</w:t>
      </w:r>
    </w:p>
    <w:p>
      <w:pPr/>
      <w:r>
        <w:t>On each trial, participants watched one critical video and answered a perfective yes–no question about it. The question contained either the RVC or the V1, with the object as a bare noun, as in (3).</w:t>
      </w:r>
    </w:p>
    <w:p>
      <w:pPr>
        <w:pStyle w:val="ExampleFirst"/>
      </w:pPr>
      <w:r>
        <w:t>(3)</w:t>
        <w:tab/>
        <w:t>a.</w:t>
        <w:tab/>
      </w:r>
      <w:r>
        <w:rPr>
          <w:i/>
        </w:rPr>
        <w:t>Tā bāo-le lìzhī ma?</w:t>
      </w:r>
    </w:p>
    <w:p>
      <w:pPr>
        <w:pStyle w:val="Example"/>
      </w:pPr>
      <w:r>
        <w:tab/>
        <w:tab/>
        <w:t>she peel-PERF lychee Q</w:t>
      </w:r>
    </w:p>
    <w:p>
      <w:pPr>
        <w:pStyle w:val="Example"/>
      </w:pPr>
      <w:r>
        <w:tab/>
        <w:tab/>
        <w:t>“Did she peel (the) lychee?”</w:t>
      </w:r>
    </w:p>
    <w:p>
      <w:pPr>
        <w:pStyle w:val="Example"/>
      </w:pPr>
      <w:r>
        <w:tab/>
        <w:t>b.</w:t>
        <w:tab/>
      </w:r>
      <w:r>
        <w:rPr>
          <w:i/>
        </w:rPr>
        <w:t>Tā bāo-kāi-le lìzhī ma?</w:t>
      </w:r>
    </w:p>
    <w:p>
      <w:pPr>
        <w:pStyle w:val="Example"/>
      </w:pPr>
      <w:r>
        <w:tab/>
        <w:tab/>
        <w:t>she peel-open-PERF lychee Q</w:t>
      </w:r>
    </w:p>
    <w:p>
      <w:pPr>
        <w:pStyle w:val="ExampleLast"/>
      </w:pPr>
      <w:r>
        <w:tab/>
        <w:tab/>
        <w:t>“Did she peel (the) lychee open?”</w:t>
      </w:r>
    </w:p>
    <w:p>
      <w:pPr/>
      <w:r>
        <w:t>Form (RVC vs. V1) and set (stronger vs. weaker association) were manipulated between participants, and result realization (full vs. zero) within participants. Eight lists crossed four event lists with the two forms. Each event list contained one action from each of the 10 pairs, all from the same set, with five videos in their full-result and five in their zero-result version; across the two event lists for each set, each video appeared once in each version. Each list also contained eight filler videos (one practice and seven test trials), whose questions either matched or did not match the depicted action, to balance “yes” and “no” answers. Participants were randomly assigned to lists. In the eight retained pairs, each participant judged eight critical trials, and across lists each retained video appeared equally often in its full-result and zero-result version.</w:t>
      </w:r>
    </w:p>
    <w:p>
      <w:pPr/>
      <w:r>
        <w:t>With about four children per age group and five adults per list, the V1 descriptions of each set were judged by eight children per age group and 10 adults, and each V1 description in a given result condition by about four children per age group. Comparisons between the two sets are therefore largely between participants, and item-level estimates are imprecise.</w:t>
      </w:r>
    </w:p>
    <w:p>
      <w:pPr>
        <w:pStyle w:val="Heading3"/>
      </w:pPr>
      <w:r>
        <w:t>Procedure</w:t>
      </w:r>
    </w:p>
    <w:p>
      <w:pPr/>
      <w:r>
        <w:t>Children were tested individually in a quiet room in their kindergarten. After each video, they heard the question and answered orally, and an experimenter recorded the response. If a child reported not having seen the video clearly or did not answer, the video was played once more. Adults were tested online in Gorilla (Anwyl-Irvine et al., 2020); they received oral instructions from an experimenter and selected their answers themselves. Each session began with one practice trial. Acceptance was coded 1 and rejection 0.</w:t>
      </w:r>
    </w:p>
    <w:p>
      <w:pPr>
        <w:pStyle w:val="Heading2"/>
      </w:pPr>
      <w:r>
        <w:t>Analysis Plan</w:t>
      </w:r>
    </w:p>
    <w:p>
      <w:pPr/>
      <w:r>
        <w:t xml:space="preserve">Trial-level acceptance is modeled with Bayesian logistic mixed-effects models in brms (Bürkner, 2017) in R (R Core Team, 2024). Bayesian estimation was chosen because near-ceiling acceptance in full-result events and in some adult conditions produces quasi-separation, and frequentist models with the required interaction structure did not converge on these data. Factors are sum-coded. Fixed effects have Normal(0, 1.5) priors, standard deviations Exponential(1) priors, and correlations LKJ(2) priors. Convergence is assessed by </w:t>
      </w:r>
      <w:r>
        <w:rPr>
          <w:i/>
        </w:rPr>
        <w:t>R̂</w:t>
      </w:r>
      <w:r>
        <w:t xml:space="preserve"> &lt; 1.01 and adequate effective sample sizes. We report posterior medians, 95% credible intervals, and predicted acceptance probabilities, and, for directional predictions, the posterior probability that the effect has the predicted sign. Because precision in designs with few stimuli depends mainly on the number of stimuli (Westfall et al., 2014), an interval that includes both zero and sizable effects is treated as inconclusive rather than as evidence of no difference.</w:t>
      </w:r>
    </w:p>
    <w:p>
      <w:pPr>
        <w:pStyle w:val="Heading3"/>
      </w:pPr>
      <w:r>
        <w:t>RVC and V1 Descriptions</w:t>
      </w:r>
    </w:p>
    <w:p>
      <w:pPr/>
      <w:r>
        <w:t>The first model addresses RQ1. It includes form (RVC vs. V1), result realization (full vs. zero), age group (4-year-olds, 5-year-olds, adults), and their interactions; V1 trials from the two sets are pooled. Random effects are intercepts for participants, items (a V1–object expression and its RVC), and pairs; a by-participant slope for result realization; and by-item slopes for form, result realization, and age group. The focal contrasts are the full–zero difference in acceptance for each form in each age group and the difference between these two differences (Form × Result Realization), which indicates whether result realization affects acceptance of the two forms differently. Comparing this interaction between children and adults and between 4- and 5-year-olds addresses the age questions in RQ1.</w:t>
      </w:r>
    </w:p>
    <w:p>
      <w:pPr>
        <w:pStyle w:val="Heading3"/>
      </w:pPr>
      <w:r>
        <w:t>Stronger- and Weaker-Association V1s</w:t>
      </w:r>
    </w:p>
    <w:p>
      <w:pPr/>
      <w:r>
        <w:t>The second model addresses RQ2 and uses V1 trials only. It includes set (stronger vs. weaker association), result realization, age group, and their interactions. Random effects are intercepts for participants, items, and pairs; a by-participant slope for result realization; by-item slopes for result realization and age group; and a by-pair slope for set, which allows the difference between the two V1s of a pair to vary across pairs. The focal estimates are (a) the difference between sets in zero-result events in each age group; (b) the Set × Result Realization interaction, which assesses whether this difference is larger in zero-result than in full-result events; and (c) the difference between children and adults in the zero-result difference between sets. Because adult acceptance in zero-result events may approach ceiling, the child–adult comparison is evaluated on the log-odds scale, and predicted probabilities are reported alongside.</w:t>
      </w:r>
    </w:p>
    <w:p>
      <w:pPr>
        <w:pStyle w:val="Heading3"/>
      </w:pPr>
      <w:r>
        <w:t>Sensitivity Analyses</w:t>
      </w:r>
    </w:p>
    <w:p>
      <w:pPr/>
      <w:r>
        <w:t>Three analyses assess whether the conclusions depend on the materials: (a) refitting both models with all 10 pairs, with the actions of Pairs 7 and 8 assigned to sets as in the original design; (b) adding the item-level verb–video correspondence values as a covariate; and (c) refitting the models with each pair left out in turn. Because Pairs 7 and 8 were excluded after an initial analysis of the child data (see Pair Selection), analysis (a) is reported alongside the main results, and any conclusion that differs between the eight-pair and 10-pair analyses is stated. Frequentist refits are reported where they converge. These analyses are not used to select a preferred subset of items. Acceptance of each V1 and RVC description is also reported by result realization and age group, to show whether a difference between sets is carried by most pairs or by a few.</w:t>
      </w:r>
    </w:p>
    <w:p>
      <w:pPr>
        <w:pStyle w:val="Heading2"/>
      </w:pPr>
      <w:r>
        <w:t>Results</w:t>
      </w:r>
    </w:p>
    <w:p>
      <w:pPr/>
      <w:r>
        <w:t>Accuracy on filler trials was 100% for adults, 97% for 4-year-olds, and 95% for 5-year-olds, and no participant was excluded. The data comprise 1,040 critical responses, of which 832 belong to the eight retained pairs (416 RVC and 416 V1 trials).</w:t>
      </w:r>
    </w:p>
    <w:p>
      <w:pPr/>
      <w:r>
        <w:rPr>
          <w:highlight w:val="yellow"/>
        </w:rPr>
        <w:t>⟦待补：按八对、两组方案重新分析后报告。0507 稿的结果基于全部 10 对和 Strong/Weak 编码，不能直接沿用。⟧</w:t>
      </w:r>
    </w:p>
    <w:p>
      <w:pPr>
        <w:pStyle w:val="Heading1"/>
      </w:pPr>
      <w:r>
        <w:t>Experiment 2: Production</w:t>
      </w:r>
    </w:p>
    <w:p>
      <w:pPr>
        <w:pStyle w:val="Heading2"/>
      </w:pPr>
      <w:r>
        <w:t>Method</w:t>
      </w:r>
    </w:p>
    <w:p>
      <w:pPr>
        <w:pStyle w:val="Heading3"/>
      </w:pPr>
      <w:r>
        <w:t>Participants</w:t>
      </w:r>
    </w:p>
    <w:p>
      <w:pPr/>
      <w:r>
        <w:t xml:space="preserve">A new sample of 32 four-year-olds (14 female; </w:t>
      </w:r>
      <w:r>
        <w:rPr>
          <w:highlight w:val="yellow"/>
        </w:rPr>
        <w:t>⟦age range in y;m, M⟧</w:t>
      </w:r>
      <w:r>
        <w:t xml:space="preserve">), 32 five-year-olds (18 female; </w:t>
      </w:r>
      <w:r>
        <w:rPr>
          <w:highlight w:val="yellow"/>
        </w:rPr>
        <w:t>⟦age range in y;m, M⟧</w:t>
      </w:r>
      <w:r>
        <w:t xml:space="preserve">), and 40 adults (29 female; 20.8–33.8 years, </w:t>
      </w:r>
      <w:r>
        <w:rPr>
          <w:i/>
        </w:rPr>
        <w:t>M</w:t>
      </w:r>
      <w:r>
        <w:t xml:space="preserve"> = 24.3) was recruited from the same populations as in Experiment 1, with the same consent procedure and compensation.</w:t>
      </w:r>
    </w:p>
    <w:p>
      <w:pPr>
        <w:pStyle w:val="Heading3"/>
      </w:pPr>
      <w:r>
        <w:t>Materials and Procedure</w:t>
      </w:r>
    </w:p>
    <w:p>
      <w:pPr/>
      <w:r>
        <w:t xml:space="preserve">The 40 critical videos were divided into four lists. Each list contained the 10 actions of one set, five in their full-result and five in their zero-result version, together with the eight filler videos (one practice and seven test trials). Four further lists presented the same videos in reverse order, yielding eight lists. Participants were randomly assigned to lists, watched each video, and were asked to describe what happened. </w:t>
      </w:r>
      <w:r>
        <w:rPr>
          <w:highlight w:val="yellow"/>
        </w:rPr>
        <w:t>⟦指导语原文⟧</w:t>
      </w:r>
      <w:r>
        <w:t xml:space="preserve"> Children responded orally, and an experimenter transcribed their responses; adults typed their descriptions online. Because response modality differed between children and adults, child–adult differences are interpreted with caution.</w:t>
      </w:r>
    </w:p>
    <w:p>
      <w:pPr/>
      <w:r>
        <w:t xml:space="preserve">All 10 pairs are included in the analyses of Experiment 2, because these analyses compare result conditions and do not require the actions to be assigned to sets. Analyses restricted to the eight retained pairs are reported as a sensitivity check. </w:t>
      </w:r>
      <w:r>
        <w:rPr>
          <w:highlight w:val="yellow"/>
        </w:rPr>
        <w:t>⟦请确认 Exp 2 用全部 10 对⟧</w:t>
      </w:r>
    </w:p>
    <w:p>
      <w:pPr>
        <w:pStyle w:val="Heading3"/>
      </w:pPr>
      <w:r>
        <w:t>Coding</w:t>
      </w:r>
    </w:p>
    <w:p>
      <w:pPr/>
      <w:r>
        <w:t xml:space="preserve">The coding unit is the complete response to a video, including information expressed across clauses. Responses were recoded from the transcripts for the present analyses. </w:t>
      </w:r>
      <w:r>
        <w:rPr>
          <w:highlight w:val="yellow"/>
        </w:rPr>
        <w:t>⟦第二名编码员及一致性待补⟧</w:t>
      </w:r>
      <w:r>
        <w:t xml:space="preserve"> Nonresponses and responses without a verb are excluded and reported.</w:t>
      </w:r>
    </w:p>
    <w:p>
      <w:pPr/>
      <w:r>
        <w:rPr>
          <w:b/>
        </w:rPr>
        <w:t>Form.</w:t>
      </w:r>
      <w:r>
        <w:t xml:space="preserve"> Each response is coded for whether it contains an RVC, affirmed or negated (e.g., </w:t>
      </w:r>
      <w:r>
        <w:rPr>
          <w:i/>
        </w:rPr>
        <w:t>bāo-kāi-le</w:t>
      </w:r>
      <w:r>
        <w:t xml:space="preserve"> “peeled open”; </w:t>
      </w:r>
      <w:r>
        <w:rPr>
          <w:i/>
        </w:rPr>
        <w:t>méi bāo-kāi</w:t>
      </w:r>
      <w:r>
        <w:t xml:space="preserve"> “did not peel open”). Responses without an RVC contain only monomorphemic predicates, which may name the action (e.g., </w:t>
      </w:r>
      <w:r>
        <w:rPr>
          <w:i/>
        </w:rPr>
        <w:t>bāo</w:t>
      </w:r>
      <w:r>
        <w:t xml:space="preserve"> “peel”) or the result (e.g., </w:t>
      </w:r>
      <w:r>
        <w:rPr>
          <w:i/>
        </w:rPr>
        <w:t>miè-le</w:t>
      </w:r>
      <w:r>
        <w:t xml:space="preserve"> “went out”). Serial-verb responses are retained and coded in the same way.</w:t>
      </w:r>
    </w:p>
    <w:p>
      <w:pPr/>
      <w:r>
        <w:rPr>
          <w:b/>
        </w:rPr>
        <w:t>Information.</w:t>
      </w:r>
      <w:r>
        <w:t xml:space="preserve"> Each response is also coded for whether it mentions the action and whether it mentions the target result. The action is coded as mentioned when any verb describes the depicted action; whether this verb is the intended V1 is recorded separately, and general verbs such as </w:t>
      </w:r>
      <w:r>
        <w:rPr>
          <w:i/>
        </w:rPr>
        <w:t>nòng</w:t>
      </w:r>
      <w:r>
        <w:t xml:space="preserve"> “do, handle” are coded as mentioning the action without specifying it. The target result is coded as mentioned when the response contains the V2 or an expression listed as equivalent for that item in the coding manual, whether the result is affirmed or denied. Only explicitly expressed information is coded: A </w:t>
      </w:r>
      <w:r>
        <w:rPr>
          <w:i/>
        </w:rPr>
        <w:t>bǎ</w:t>
      </w:r>
      <w:r>
        <w:t xml:space="preserve"> construction with a monomorphemic verb (e.g., </w:t>
      </w:r>
      <w:r>
        <w:rPr>
          <w:i/>
        </w:rPr>
        <w:t>bǎ làzhú chuī-le</w:t>
      </w:r>
      <w:r>
        <w:t xml:space="preserve"> “BA candle blow-PERF”) is coded as mentioning the action only. </w:t>
      </w:r>
      <w:r>
        <w:rPr>
          <w:highlight w:val="yellow"/>
        </w:rPr>
        <w:t>⟦注意：0507 稿把 bǎ 句中的谓语一律编为 RVC，这里改了⟧</w:t>
      </w:r>
      <w:r>
        <w:t xml:space="preserve"> Whether a mentioned result is affirmed or denied is recorded, so that responses affirming the target result in a zero-result event can be identified.</w:t>
      </w:r>
    </w:p>
    <w:p>
      <w:pPr/>
      <w:r>
        <w:rPr>
          <w:b/>
        </w:rPr>
        <w:t>Response categories.</w:t>
      </w:r>
      <w:r>
        <w:t xml:space="preserve"> Combining the two codes, each response is assigned to one of five categories: action only, target result only, action and target result in an RVC, action and target result in separate predicates, or neither. The RVC and action-only categories correspond to the RVC and V1 descriptions judged in Experiment 1.</w:t>
      </w:r>
    </w:p>
    <w:p>
      <w:pPr>
        <w:pStyle w:val="Heading2"/>
      </w:pPr>
      <w:r>
        <w:t>Analysis Plan</w:t>
      </w:r>
    </w:p>
    <w:p>
      <w:pPr/>
      <w:r>
        <w:t xml:space="preserve">Two binary outcomes are modeled with the Bayesian specification of Experiment 1: whether a response contains an RVC and whether it mentions the target result. Each model includes result realization, age group, and their interaction, with random intercepts for participants, items (the videos of one action), and pairs; a by-participant slope for result realization; and by-item slopes for result realization and age group. Because negated RVCs are counted as RVCs, the first outcome concerns the form of the description regardless of whether the result is affirmed or denied. Because every RVC mentions both the action and the target result, the two outcomes overlap by design; comparing them shows whether fewer RVCs in zero-result events reflect fewer mentions of the result or a shift to other ways of mentioning it. Among responses without an RVC, the proportions of action-only, result-only, and separate-predicate responses are reported by result realization and age group and modeled if cell sizes permit. </w:t>
      </w:r>
      <w:r>
        <w:rPr>
          <w:highlight w:val="yellow"/>
        </w:rPr>
        <w:t>⟦待定：多分类模型还是仅描述⟧</w:t>
      </w:r>
      <w:r>
        <w:t xml:space="preserve"> Responses that affirm the target result in zero-result events are counted by age group. The adult ratings are not used in these analyses.</w:t>
      </w:r>
    </w:p>
    <w:p>
      <w:pPr>
        <w:pStyle w:val="Heading2"/>
      </w:pPr>
      <w:r>
        <w:t>Results</w:t>
      </w:r>
    </w:p>
    <w:p>
      <w:pPr/>
      <w:r>
        <w:rPr>
          <w:highlight w:val="yellow"/>
        </w:rPr>
        <w:t>⟦待补：按新的编码方案（完整回答为单位）重新编码并分析后报告。⟧</w:t>
      </w:r>
    </w:p>
    <w:p>
      <w:pPr>
        <w:pStyle w:val="Heading1"/>
      </w:pPr>
      <w:r>
        <w:t>General Discussion</w:t>
      </w:r>
    </w:p>
    <w:p>
      <w:pPr/>
      <w:r>
        <w:rPr>
          <w:highlight w:val="yellow"/>
        </w:rPr>
        <w:t>⟦本节为计划稿，将根据结果修改。⟧</w:t>
      </w:r>
    </w:p>
    <w:p>
      <w:pPr/>
      <w:r>
        <w:t>The study asks three questions about how Mandarin-speaking 4- and 5-year-olds interpret and describe events in which an action does or does not bring about a target result. First, do children evaluate RVC and V1 descriptions differently with respect to the result, and do 4-year-olds already do so? Second, with the object and the result held constant, do children judge V1 descriptions differently depending on how strongly the named action is associated with the result? Third, how does the realization of the result shape which forms children use and whether they mention the result in their own descriptions?</w:t>
      </w:r>
    </w:p>
    <w:p>
      <w:pPr>
        <w:pStyle w:val="Heading2"/>
      </w:pPr>
      <w:r>
        <w:t>RVC and V1 Descriptions</w:t>
      </w:r>
    </w:p>
    <w:p>
      <w:pPr/>
      <w:r>
        <w:t>A larger effect of result realization on RVC than on V1 descriptions would show that children treat a result expressed by V2 differently from a result that is only associated with the action named by V1. Previous studies have shown this distinction in 5-year-olds (J. Liu et al., 2026) and in a small group of children around 4;6 (Chen, 2017). If 4-year-olds show the same interaction as 5-year-olds, the distinction is in place by 4 years of age for the events tested here; if the interaction is weaker in 4-year-olds, it continues to develop between 4 and 5. In either case, the conclusion concerns the selected RVCs and events, not RVC semantics or telicity in general. A smaller difference between the two forms in children than in adults would replicate the finding that children judge V1 descriptions of events without the result more strictly than adults do (Chen, 2017; J. Liu et al., 2026).</w:t>
      </w:r>
    </w:p>
    <w:p>
      <w:pPr>
        <w:pStyle w:val="Heading2"/>
      </w:pPr>
      <w:r>
        <w:t>Action–Result Association and V1 Descriptions</w:t>
      </w:r>
    </w:p>
    <w:p>
      <w:pPr/>
      <w:r>
        <w:t>If children reject V1 descriptions of zero-result events more often when the V1 names an action strongly associated with the target result, their stricter judgments are not uniform across V1s but vary with the relation between the depicted action and the result. Chen (2017) found differences among V1s, but each V1 was presented with a different object and result. Because the present design holds the object and the target result constant within pairs, a difference between sets cannot be attributed to differences between objects or results. It would show that, for children, what a V1 description conveys about a result depends on how the named action relates to that result. A difference between sets in adults would show the same for mature interpretation, consistent with the cline in adults’ acceptance of result cancellation (Chen, 2018) and with evidence that comprehenders’ expectations about events depend on the combination of a verb with its arguments (Bicknell et al., 2010; McRae &amp; Matsuki, 2009).</w:t>
      </w:r>
    </w:p>
    <w:p>
      <w:pPr/>
      <w:r>
        <w:t>A larger difference between sets in children than in adults would locate children’s stricter judgments mainly in V1s that name strongly associated actions. This pattern is compatible with three explanations that the binary task cannot separate: Children may find it harder than adults to set aside an inference that the result occurred, may reject a true description as inadequate because it leaves an expected result unaddressed, or may judge a failed attempt to be a poor instance of the action. The pragmatic explanation fits less naturally with a larger difference in children, because children tend to be more tolerant than adults of underinformative descriptions in binary judgment tasks (Katsos &amp; Bishop, 2011). Because adult acceptance in zero-result events may approach ceiling, however, a larger child difference on the probability scale could partly reflect the adult ceiling, which is why the comparison is evaluated on the log-odds scale.</w:t>
      </w:r>
    </w:p>
    <w:p>
      <w:pPr/>
      <w:r>
        <w:t xml:space="preserve">Because the stronger- and weaker-association expressions differ in both rated likelihood and rated typicality, the study cannot determine which dimension, or what the two share, underlies a difference between sets; the two ratings diverged only in Pair 7, which was excluded. The difference between sets also goes together with a difference in the conventionality of the corresponding RVCs. A child who often hears </w:t>
      </w:r>
      <w:r>
        <w:rPr>
          <w:i/>
        </w:rPr>
        <w:t>chuī-miè</w:t>
      </w:r>
      <w:r>
        <w:t xml:space="preserve"> “blow-extinguished” may come to expect a candle to go out after </w:t>
      </w:r>
      <w:r>
        <w:rPr>
          <w:i/>
        </w:rPr>
        <w:t>chuī</w:t>
      </w:r>
      <w:r>
        <w:t xml:space="preserve"> “blow,” so familiarity with the RVC offers an alternative account of a difference between sets. This account is not incompatible with the association account, because an action that reliably brings about a result is also likely to be described often with the corresponding RVC, but the present materials cannot separate the two.</w:t>
      </w:r>
    </w:p>
    <w:p>
      <w:pPr>
        <w:pStyle w:val="Heading2"/>
      </w:pPr>
      <w:r>
        <w:t>Form and Information in Production</w:t>
      </w:r>
    </w:p>
    <w:p>
      <w:pPr/>
      <w:r>
        <w:t xml:space="preserve">Comparing RVC use with mention of the target result separates the forms children use from the information they express. If both decline in zero-result events, speakers describing a failed attempt tend to leave the result unmentioned rather than express it in another form. If children mention the result without an RVC more often than adults, for example by naming the result alone or in a separate predicate, their lower RVC use reflects how they package the information rather than less attention to the result. In either case, RVC frequency alone cannot show whether children encode a result. Mentions of the result in zero-result events, typically negated as in </w:t>
      </w:r>
      <w:r>
        <w:rPr>
          <w:i/>
        </w:rPr>
        <w:t>méi bāo-kāi</w:t>
      </w:r>
      <w:r>
        <w:t xml:space="preserve"> “did not peel open,” indicate that the speaker treated the absent result as relevant to the event, and responses that affirm the target result in a zero-result event would indicate that a speaker described an unattained result as attained. Because the two experiments tested independent samples, links between comprehension and production hold at the group level only.</w:t>
      </w:r>
    </w:p>
    <w:p>
      <w:pPr>
        <w:pStyle w:val="Heading2"/>
      </w:pPr>
      <w:r>
        <w:t>Limitations and Future Directions</w:t>
      </w:r>
    </w:p>
    <w:p>
      <w:pPr/>
      <w:r>
        <w:t xml:space="preserve">Several limitations follow from the design. First, the yes–no task cannot distinguish a judgment that a V1 description is false from a judgment that it is true but inadequate; a graded or ternary response format (Katsos &amp; Bishop, 2011) or a cancellation task would be needed to separate them. Second, each V1 appears with a single object and result, so the data cannot show that the same V1 conveys more or less about a result depending on the result in question; presenting the same V1 with different objects and results, such as </w:t>
      </w:r>
      <w:r>
        <w:rPr>
          <w:i/>
        </w:rPr>
        <w:t>tī</w:t>
      </w:r>
      <w:r>
        <w:t xml:space="preserve"> “kick” with a bottle and with a door, would test this directly. Third, likelihood, typicality, and RVC conventionality covary across the retained pairs. Separating them would require pairs in which they diverge, as in the excluded Pair 7, with the two ratings collected from different raters. Fourth, with eight pairs and sets assigned between participants, each difference between sets rests on few items and small groups, and item-level estimates are descriptive; in addition, the ratings were collected and two pairs excluded after an initial analysis of the child data, so the eight-pair results should be read together with the 10-pair analyses. Fifth, the ratings describe expressions rather than videos, and the videos did not always elicit the intended V1. Finally, children and adults were tested in different modalities, and comprehension and production were tested in independent samples.</w:t>
      </w:r>
    </w:p>
    <w:p>
      <w:pPr>
        <w:pStyle w:val="Heading1"/>
      </w:pPr>
      <w:r>
        <w:t>Conclusion</w:t>
      </w:r>
    </w:p>
    <w:p>
      <w:pPr/>
      <w:r>
        <w:t xml:space="preserve">This study examines how Mandarin-speaking 4- and 5-year-olds interpret and describe events in which an action does or does not bring about a target result. Comparing RVC and V1 descriptions tests whether children distinguish a result expressed by V2 from one that is only associated with the action named by V1. Comparing V1s that name actions on the same object, but differ in how strongly those actions are associated with the same result, tests whether children’s interpretation of V1 descriptions varies with the relation between the action and the result rather than with the verb alone. Comparing RVC use with mention of the result in production asks whether children who use fewer RVCs also leave the result unexpressed. </w:t>
      </w:r>
      <w:r>
        <w:rPr>
          <w:highlight w:val="yellow"/>
        </w:rPr>
        <w:t>⟦结论待根据结果改写⟧</w:t>
      </w:r>
    </w:p>
    <w:p w14:paraId="4F1628DC" w14:textId="77777777" w:rsidR="008215DC" w:rsidRDefault="00000000">
      <w:pPr>
        <w:pStyle w:val="Heading1"/>
        <w:pageBreakBefore/>
      </w:pPr>
      <w:r>
        <w:rPr/>
        <w:lastRenderedPageBreak/>
        <w:t>References</w:t>
      </w:r>
    </w:p>
    <w:p>
      <w:pPr>
        <w:pStyle w:val="Reference"/>
      </w:pPr>
      <w:r>
        <w:t xml:space="preserve">Anwyl-Irvine, A. L., Massonnié, J., Flitton, A., Kirkham, N., &amp; Evershed, J. K. (2020). Gorilla in our midst: An online behavioral experiment builder. </w:t>
      </w:r>
      <w:r>
        <w:rPr>
          <w:i/>
        </w:rPr>
        <w:t>Behavior Research Methods, 52</w:t>
      </w:r>
      <w:r>
        <w:t>(1), 388–407. https://doi.org/10.3758/s13428-019-01237-x</w:t>
      </w:r>
    </w:p>
    <w:p w14:paraId="202A5318" w14:textId="77777777" w:rsidR="008215DC" w:rsidRDefault="00000000">
      <w:pPr>
        <w:pStyle w:val="Reference"/>
      </w:pPr>
      <w:r>
        <w:rPr/>
        <w:t xml:space="preserve">Barsalou, L. W. (1985). Ideals, central tendency, and frequency of instantiation as determinants of graded structure in categories. </w:t>
      </w:r>
      <w:r>
        <w:rPr>
          <w:i/>
          <w:iCs/>
        </w:rPr>
        <w:t>Journal of Experimental Psychology: Learning, Memory, and Cognition, 11</w:t>
      </w:r>
      <w:r>
        <w:rPr/>
        <w:t>(4), 629–654. https://doi.org/10.1037/0278-7393.11.1-4.629</w:t>
      </w:r>
    </w:p>
    <w:p w14:paraId="12C28B06" w14:textId="77777777" w:rsidR="008215DC" w:rsidRDefault="00000000">
      <w:pPr>
        <w:pStyle w:val="Reference"/>
      </w:pPr>
      <w:r w:rsidRPr="005B1EF1">
        <w:rPr/>
        <w:t xml:space="preserve">Bicknell, K., Elman, J. L., Hare, M., McRae, K., &amp; Kutas, M. (2010). </w:t>
      </w:r>
      <w:r>
        <w:rPr/>
        <w:t xml:space="preserve">Effects of event knowledge in processing verbal arguments. </w:t>
      </w:r>
      <w:r>
        <w:rPr>
          <w:i/>
          <w:iCs/>
        </w:rPr>
        <w:t>Journal of Memory and Language, 63</w:t>
      </w:r>
      <w:r>
        <w:rPr/>
        <w:t>(4), 489–505. https://doi.org/10.1016/j.jml.2010.08.004</w:t>
      </w:r>
    </w:p>
    <w:p>
      <w:pPr>
        <w:pStyle w:val="Reference"/>
      </w:pPr>
      <w:r>
        <w:t xml:space="preserve">Bürkner, P.-C. (2017). brms: An R package for Bayesian multilevel models using Stan. </w:t>
      </w:r>
      <w:r>
        <w:rPr>
          <w:i/>
        </w:rPr>
        <w:t>Journal of Statistical Software, 80</w:t>
      </w:r>
      <w:r>
        <w:t>(1), 1–28. https://doi.org/10.18637/jss.v080.i01</w:t>
      </w:r>
    </w:p>
    <w:p w14:paraId="4C5C2DB6" w14:textId="77777777" w:rsidR="008215DC" w:rsidRDefault="00000000">
      <w:pPr>
        <w:pStyle w:val="Reference"/>
      </w:pPr>
      <w:r>
        <w:rPr/>
        <w:t xml:space="preserve">Chen, J. (2008). </w:t>
      </w:r>
      <w:r>
        <w:rPr>
          <w:i/>
          <w:iCs/>
        </w:rPr>
        <w:t>The acquisition of verb compounding in Mandarin Chinese</w:t>
      </w:r>
      <w:r>
        <w:rPr/>
        <w:t xml:space="preserve"> [Doctoral dissertation, Vrije Universiteit Amsterdam]. LOT.</w:t>
      </w:r>
    </w:p>
    <w:p w14:paraId="0752725E" w14:textId="77777777" w:rsidR="008215DC" w:rsidRDefault="00000000">
      <w:pPr>
        <w:pStyle w:val="Reference"/>
      </w:pPr>
      <w:r>
        <w:rPr/>
        <w:t xml:space="preserve">Chen, J. (2017). When transparency doesn’t mean ease: Learning the meaning of resultative verb compounds in Mandarin Chinese. </w:t>
      </w:r>
      <w:r>
        <w:rPr>
          <w:i/>
          <w:iCs/>
        </w:rPr>
        <w:t>Journal of Child Language, 44</w:t>
      </w:r>
      <w:r>
        <w:rPr/>
        <w:t>(3), 695–718. https://doi.org/10.1017/S0305000916000192</w:t>
      </w:r>
    </w:p>
    <w:p w14:paraId="00FA2C10" w14:textId="77777777" w:rsidR="008215DC" w:rsidRDefault="00000000">
      <w:pPr>
        <w:pStyle w:val="Reference"/>
      </w:pPr>
      <w:r>
        <w:rPr/>
        <w:t xml:space="preserve">Chen, J. (2018). “He killed a chicken, but it didn’t die”: An empirical study of the lexicalization of state change in Mandarin monomorphemic verbs. </w:t>
      </w:r>
      <w:r>
        <w:rPr>
          <w:i/>
          <w:iCs/>
        </w:rPr>
        <w:t>Chinese Language and Discourse, 9</w:t>
      </w:r>
      <w:r>
        <w:rPr/>
        <w:t>(2), 136–161. https://doi.org/10.1075/cld.17007.che</w:t>
      </w:r>
    </w:p>
    <w:p w14:paraId="1878FFDD" w14:textId="77777777" w:rsidR="008215DC" w:rsidRDefault="00000000">
      <w:pPr>
        <w:pStyle w:val="Reference"/>
      </w:pPr>
      <w:r>
        <w:rPr/>
        <w:t xml:space="preserve">Deng, X. (2019). The acquisition of resultative verb compounds in Mandarin Chinese. </w:t>
      </w:r>
      <w:r>
        <w:rPr>
          <w:i/>
          <w:iCs/>
        </w:rPr>
        <w:t>Journal of Chinese Linguistics, 47</w:t>
      </w:r>
      <w:r>
        <w:rPr/>
        <w:t>(1), 42–81. https://doi.org/10.1353/jcl.2019.0002</w:t>
      </w:r>
    </w:p>
    <w:p w14:paraId="74FC6E8A" w14:textId="77777777" w:rsidR="008215DC" w:rsidRDefault="00000000">
      <w:pPr>
        <w:pStyle w:val="Reference"/>
      </w:pPr>
      <w:r>
        <w:rPr/>
        <w:t xml:space="preserve">Han, P. (2021). </w:t>
      </w:r>
      <w:proofErr w:type="spellStart"/>
      <w:r>
        <w:rPr/>
        <w:t>Reanalyzing</w:t>
      </w:r>
      <w:proofErr w:type="spellEnd"/>
      <w:r>
        <w:rPr/>
        <w:t xml:space="preserve"> Mandarin V1–V2 resultative constructions—A force-theoretic approach. </w:t>
      </w:r>
      <w:r>
        <w:rPr>
          <w:i/>
          <w:iCs/>
        </w:rPr>
        <w:t xml:space="preserve">Canadian Journal of Linguistics/Revue canadienne de </w:t>
      </w:r>
      <w:proofErr w:type="spellStart"/>
      <w:r>
        <w:rPr>
          <w:i/>
          <w:iCs/>
        </w:rPr>
        <w:t>linguistique</w:t>
      </w:r>
      <w:proofErr w:type="spellEnd"/>
      <w:r>
        <w:rPr>
          <w:i/>
          <w:iCs/>
        </w:rPr>
        <w:t>, 66</w:t>
      </w:r>
      <w:r>
        <w:rPr/>
        <w:t xml:space="preserve">(2), 191–222. https://doi.org/10.1017/cnj.2021.11 </w:t>
      </w:r>
      <w:r>
        <w:rPr>
          <w:highlight w:val="yellow"/>
        </w:rPr>
        <w:t>⟦</w:t>
      </w:r>
      <w:proofErr w:type="spellStart"/>
      <w:r>
        <w:rPr>
          <w:highlight w:val="yellow"/>
        </w:rPr>
        <w:t>待核：页码</w:t>
      </w:r>
      <w:proofErr w:type="spellEnd"/>
      <w:r>
        <w:rPr>
          <w:highlight w:val="yellow"/>
        </w:rPr>
        <w:t>⟧</w:t>
      </w:r>
    </w:p>
    <w:p w14:paraId="1329A4C0" w14:textId="77777777" w:rsidR="008215DC" w:rsidRDefault="00000000">
      <w:pPr>
        <w:pStyle w:val="Reference"/>
      </w:pPr>
      <w:r>
        <w:rPr/>
        <w:t xml:space="preserve">Hsu, N., Rispoli, M., &amp; Hadley, P. A. (2019). Mastering the grammar of complex events: Evidence from Mandarin resultative verb compounds. </w:t>
      </w:r>
      <w:r>
        <w:rPr>
          <w:i/>
          <w:iCs/>
        </w:rPr>
        <w:t>Language Learning and Development, 15</w:t>
      </w:r>
      <w:r>
        <w:rPr/>
        <w:t>(3), 255–277. https://doi.org/10.1080/15475441.2019.1590204</w:t>
      </w:r>
    </w:p>
    <w:p w14:paraId="3FA21851" w14:textId="77777777" w:rsidR="008215DC" w:rsidRDefault="00000000">
      <w:pPr>
        <w:pStyle w:val="Reference"/>
      </w:pPr>
      <w:r>
        <w:rPr/>
        <w:lastRenderedPageBreak/>
        <w:t xml:space="preserve">Huang, C.-T. J. (2006). Resultatives and </w:t>
      </w:r>
      <w:proofErr w:type="spellStart"/>
      <w:r>
        <w:rPr/>
        <w:t>unaccusatives</w:t>
      </w:r>
      <w:proofErr w:type="spellEnd"/>
      <w:r>
        <w:rPr/>
        <w:t xml:space="preserve">: A parametric view. </w:t>
      </w:r>
      <w:r>
        <w:rPr>
          <w:i/>
          <w:iCs/>
        </w:rPr>
        <w:t>Bulletin of the Chinese Linguistic Society of Japan, 2006</w:t>
      </w:r>
      <w:r>
        <w:rPr/>
        <w:t>(253), 1–43. https://doi.org/10.7131/chuugokugogaku.2006.1</w:t>
      </w:r>
    </w:p>
    <w:p w14:paraId="488BA89A" w14:textId="77777777" w:rsidR="008215DC" w:rsidRDefault="00000000">
      <w:pPr>
        <w:pStyle w:val="Reference"/>
      </w:pPr>
      <w:r w:rsidRPr="005B1EF1">
        <w:rPr/>
        <w:t xml:space="preserve">Katsos, N., &amp; Bishop, D. V. M. (2011). </w:t>
      </w:r>
      <w:r>
        <w:rPr/>
        <w:t xml:space="preserve">Pragmatic tolerance: Implications for the acquisition of informativeness and implicature. </w:t>
      </w:r>
      <w:r>
        <w:rPr>
          <w:i/>
          <w:iCs/>
        </w:rPr>
        <w:t>Cognition, 120</w:t>
      </w:r>
      <w:r>
        <w:rPr/>
        <w:t>(1), 67–81. https://doi.org/10.1016/j.cognition.2011.02.015</w:t>
      </w:r>
    </w:p>
    <w:p w14:paraId="30CFF93B" w14:textId="77777777" w:rsidR="008215DC" w:rsidRDefault="00000000">
      <w:pPr>
        <w:pStyle w:val="Reference"/>
      </w:pPr>
      <w:r>
        <w:rPr/>
        <w:t xml:space="preserve">Kim, S., &amp; Murphy, G. L. (2011). Ideals and category typicality. </w:t>
      </w:r>
      <w:r>
        <w:rPr>
          <w:i/>
          <w:iCs/>
        </w:rPr>
        <w:t>Journal of Experimental Psychology: Learning, Memory, and Cognition, 37</w:t>
      </w:r>
      <w:r>
        <w:rPr/>
        <w:t>(5), 1092–1112. https://doi.org/10.1037/a0023916</w:t>
      </w:r>
    </w:p>
    <w:p w14:paraId="35992BBE" w14:textId="77777777" w:rsidR="008215DC" w:rsidRPr="005B1EF1" w:rsidRDefault="00000000">
      <w:pPr>
        <w:pStyle w:val="Reference"/>
        <w:rPr>
          <w:lang w:val="de-DE"/>
        </w:rPr>
      </w:pPr>
      <w:r>
        <w:rPr/>
        <w:t xml:space="preserve">Kou, X., &amp; Hohenstein, J. (2022). </w:t>
      </w:r>
      <w:proofErr w:type="spellStart"/>
      <w:r>
        <w:rPr/>
        <w:t>Fulfillment</w:t>
      </w:r>
      <w:proofErr w:type="spellEnd"/>
      <w:r>
        <w:rPr/>
        <w:t xml:space="preserve"> types in Realization events: Definition, distinctions, and diagnostics. </w:t>
      </w:r>
      <w:r w:rsidRPr="005B1EF1">
        <w:rPr>
          <w:i/>
          <w:iCs/>
        </w:rPr>
        <w:t>Lingua, 269</w:t>
      </w:r>
      <w:r w:rsidRPr="005B1EF1">
        <w:rPr/>
        <w:t>, Article 103204. https://doi.org/10.1016/j.lingua.2021.103204</w:t>
      </w:r>
    </w:p>
    <w:p w14:paraId="502FF3A9" w14:textId="77777777" w:rsidR="008215DC" w:rsidRDefault="00000000">
      <w:pPr>
        <w:pStyle w:val="Reference"/>
      </w:pPr>
      <w:r w:rsidRPr="005B1EF1">
        <w:rPr/>
        <w:t xml:space="preserve">Kou, X., &amp; Hohenstein, J. (2024). </w:t>
      </w:r>
      <w:r>
        <w:rPr/>
        <w:t xml:space="preserve">Manner, result, and intention: Implications for event typology from a cognitive account of verb semantics based on fulfilment types. </w:t>
      </w:r>
      <w:r>
        <w:rPr>
          <w:i/>
          <w:iCs/>
        </w:rPr>
        <w:t>Language and Cognition, 16</w:t>
      </w:r>
      <w:r>
        <w:rPr/>
        <w:t>(4), 1053–1078. https://doi.org/10.1017/langcog.2023.72</w:t>
      </w:r>
    </w:p>
    <w:p w14:paraId="5AA379DA" w14:textId="77777777" w:rsidR="008215DC" w:rsidRDefault="00000000">
      <w:pPr>
        <w:pStyle w:val="Reference"/>
      </w:pPr>
      <w:r>
        <w:rPr/>
        <w:t xml:space="preserve">Li, C. N., &amp; Thompson, S. A. (1981). </w:t>
      </w:r>
      <w:r>
        <w:rPr>
          <w:i/>
          <w:iCs/>
        </w:rPr>
        <w:t>Mandarin Chinese: A functional reference grammar</w:t>
      </w:r>
      <w:r>
        <w:rPr/>
        <w:t>. University of California Press.</w:t>
      </w:r>
    </w:p>
    <w:p w14:paraId="4C8689C5" w14:textId="77777777" w:rsidR="008215DC" w:rsidRDefault="00000000">
      <w:pPr>
        <w:pStyle w:val="Reference"/>
      </w:pPr>
      <w:r>
        <w:rPr/>
        <w:t xml:space="preserve">Li, P., &amp; Bowerman, M. (1998). The acquisition of lexical and grammatical aspect in Chinese. </w:t>
      </w:r>
      <w:r>
        <w:rPr>
          <w:i/>
          <w:iCs/>
        </w:rPr>
        <w:t>First Language, 18</w:t>
      </w:r>
      <w:r>
        <w:rPr/>
        <w:t>(54), 311–350. https://doi.org/10.1177/014272379801805404</w:t>
      </w:r>
    </w:p>
    <w:p w14:paraId="606021C8" w14:textId="77777777" w:rsidR="008215DC" w:rsidRDefault="00000000">
      <w:pPr>
        <w:pStyle w:val="Reference"/>
      </w:pPr>
      <w:r>
        <w:rPr/>
        <w:t xml:space="preserve">Li, Y. (1990). On V-V compounds in Chinese. </w:t>
      </w:r>
      <w:r>
        <w:rPr>
          <w:i/>
          <w:iCs/>
        </w:rPr>
        <w:t>Natural Language &amp; Linguistic Theory, 8</w:t>
      </w:r>
      <w:r>
        <w:rPr/>
        <w:t>(2), 177–207. https://doi.org/10.1007/BF00208523</w:t>
      </w:r>
    </w:p>
    <w:p w14:paraId="62FCDFFA" w14:textId="77777777" w:rsidR="008215DC" w:rsidRDefault="00000000">
      <w:pPr>
        <w:pStyle w:val="Reference"/>
      </w:pPr>
      <w:r>
        <w:rPr/>
        <w:t xml:space="preserve">Li, Y. (1995). The thematic hierarchy and </w:t>
      </w:r>
      <w:proofErr w:type="spellStart"/>
      <w:r>
        <w:rPr/>
        <w:t>causativity</w:t>
      </w:r>
      <w:proofErr w:type="spellEnd"/>
      <w:r>
        <w:rPr/>
        <w:t xml:space="preserve">. </w:t>
      </w:r>
      <w:r>
        <w:rPr>
          <w:i/>
          <w:iCs/>
        </w:rPr>
        <w:t>Natural Language &amp; Linguistic Theory, 13</w:t>
      </w:r>
      <w:r>
        <w:rPr/>
        <w:t>(2), 255–282. https://doi.org/10.1007/BF00992783</w:t>
      </w:r>
    </w:p>
    <w:p w14:paraId="1A29705C" w14:textId="77777777" w:rsidR="008215DC" w:rsidRDefault="00000000">
      <w:pPr>
        <w:pStyle w:val="Reference"/>
      </w:pPr>
      <w:r>
        <w:rPr/>
        <w:lastRenderedPageBreak/>
        <w:t xml:space="preserve">Liu, J. (2018). </w:t>
      </w:r>
      <w:r>
        <w:rPr>
          <w:i/>
          <w:iCs/>
        </w:rPr>
        <w:t>(Non-culminating) accomplishments in child and adult Mandarin</w:t>
      </w:r>
      <w:r>
        <w:rPr/>
        <w:t xml:space="preserve"> [Doctoral dissertation, Université de Nantes]. </w:t>
      </w:r>
      <w:r>
        <w:rPr>
          <w:highlight w:val="yellow"/>
        </w:rPr>
        <w:t>⟦</w:t>
      </w:r>
      <w:proofErr w:type="spellStart"/>
      <w:r>
        <w:rPr>
          <w:highlight w:val="yellow"/>
        </w:rPr>
        <w:t>待核：题名与链接</w:t>
      </w:r>
      <w:proofErr w:type="spellEnd"/>
      <w:r>
        <w:rPr>
          <w:highlight w:val="yellow"/>
        </w:rPr>
        <w:t>⟧</w:t>
      </w:r>
    </w:p>
    <w:p w14:paraId="42C83A89" w14:textId="77777777" w:rsidR="008215DC" w:rsidRDefault="00000000">
      <w:pPr>
        <w:pStyle w:val="Reference"/>
      </w:pPr>
      <w:r>
        <w:rPr/>
        <w:t xml:space="preserve">Liu, J., van Hout, A., &amp; </w:t>
      </w:r>
      <w:proofErr w:type="spellStart"/>
      <w:r>
        <w:rPr/>
        <w:t>Demirdache</w:t>
      </w:r>
      <w:proofErr w:type="spellEnd"/>
      <w:r>
        <w:rPr/>
        <w:t xml:space="preserve">, H. (2026). Mandarin children’s acquisition of event culmination. </w:t>
      </w:r>
      <w:r>
        <w:rPr>
          <w:i/>
          <w:iCs/>
        </w:rPr>
        <w:t>Languages, 11</w:t>
      </w:r>
      <w:r>
        <w:rPr/>
        <w:t>(9), Article 190. https://doi.org/10.3390/languages11090190</w:t>
      </w:r>
    </w:p>
    <w:p w14:paraId="167A6DB1" w14:textId="77777777" w:rsidR="008215DC" w:rsidRDefault="00000000">
      <w:pPr>
        <w:pStyle w:val="Reference"/>
      </w:pPr>
      <w:r>
        <w:rPr/>
        <w:t xml:space="preserve">Ma, W., Golinkoff, R. M., Song, L., &amp; Hirsh-Pasek, K. (2021). Using verb extension to gauge children’s verb meaning </w:t>
      </w:r>
      <w:proofErr w:type="spellStart"/>
      <w:r>
        <w:rPr/>
        <w:t>construals</w:t>
      </w:r>
      <w:proofErr w:type="spellEnd"/>
      <w:r>
        <w:rPr/>
        <w:t xml:space="preserve">: The case of Chinese. </w:t>
      </w:r>
      <w:r>
        <w:rPr>
          <w:i/>
          <w:iCs/>
        </w:rPr>
        <w:t>Frontiers in Psychology, 11</w:t>
      </w:r>
      <w:r>
        <w:rPr/>
        <w:t>, Article 572198. https://doi.org/10.3389/fpsyg.2020.572198</w:t>
      </w:r>
    </w:p>
    <w:p w14:paraId="71CEE38F" w14:textId="77777777" w:rsidR="008215DC" w:rsidRDefault="00000000">
      <w:pPr>
        <w:pStyle w:val="Reference"/>
      </w:pPr>
      <w:r>
        <w:rPr/>
        <w:t xml:space="preserve">Martin, F., Sun, H., Liu, J., &amp; </w:t>
      </w:r>
      <w:proofErr w:type="spellStart"/>
      <w:r>
        <w:rPr/>
        <w:t>Demirdache</w:t>
      </w:r>
      <w:proofErr w:type="spellEnd"/>
      <w:r>
        <w:rPr/>
        <w:t xml:space="preserve">, H. (2023). On the zero-change construal of causative simple verbs in Mandarin Chinese. In P. Liu, E. </w:t>
      </w:r>
      <w:proofErr w:type="spellStart"/>
      <w:r>
        <w:rPr/>
        <w:t>Sjovall</w:t>
      </w:r>
      <w:proofErr w:type="spellEnd"/>
      <w:r>
        <w:rPr/>
        <w:t xml:space="preserve">, X. Sun, P. Berezovskaya, &amp; V. </w:t>
      </w:r>
      <w:proofErr w:type="spellStart"/>
      <w:r>
        <w:rPr/>
        <w:t>Hohaus</w:t>
      </w:r>
      <w:proofErr w:type="spellEnd"/>
      <w:r>
        <w:rPr/>
        <w:t xml:space="preserve"> (Eds.), </w:t>
      </w:r>
      <w:r>
        <w:rPr>
          <w:i/>
          <w:iCs/>
        </w:rPr>
        <w:t xml:space="preserve">Proceedings of </w:t>
      </w:r>
      <w:proofErr w:type="spellStart"/>
      <w:r>
        <w:rPr>
          <w:i/>
          <w:iCs/>
        </w:rPr>
        <w:t>TripleA</w:t>
      </w:r>
      <w:proofErr w:type="spellEnd"/>
      <w:r>
        <w:rPr>
          <w:i/>
          <w:iCs/>
        </w:rPr>
        <w:t xml:space="preserve"> 7</w:t>
      </w:r>
      <w:r>
        <w:rPr/>
        <w:t xml:space="preserve">. Universität Tübingen. </w:t>
      </w:r>
      <w:r>
        <w:rPr>
          <w:highlight w:val="yellow"/>
        </w:rPr>
        <w:t>⟦</w:t>
      </w:r>
      <w:proofErr w:type="spellStart"/>
      <w:r>
        <w:rPr>
          <w:highlight w:val="yellow"/>
        </w:rPr>
        <w:t>待核：页码与链接</w:t>
      </w:r>
      <w:proofErr w:type="spellEnd"/>
      <w:r>
        <w:rPr>
          <w:highlight w:val="yellow"/>
        </w:rPr>
        <w:t>⟧</w:t>
      </w:r>
    </w:p>
    <w:p w14:paraId="28FCD0FF" w14:textId="77777777" w:rsidR="008215DC" w:rsidRDefault="00000000">
      <w:pPr>
        <w:pStyle w:val="Reference"/>
      </w:pPr>
      <w:r>
        <w:rPr/>
        <w:t xml:space="preserve">McRae, K., &amp; Matsuki, K. (2009). People use their knowledge of common events to understand </w:t>
      </w:r>
      <w:proofErr w:type="gramStart"/>
      <w:r>
        <w:rPr/>
        <w:t>language, and</w:t>
      </w:r>
      <w:proofErr w:type="gramEnd"/>
      <w:r>
        <w:rPr/>
        <w:t xml:space="preserve"> do so as quickly as possible. </w:t>
      </w:r>
      <w:r>
        <w:rPr>
          <w:i/>
          <w:iCs/>
        </w:rPr>
        <w:t>Language and Linguistics Compass, 3</w:t>
      </w:r>
      <w:r>
        <w:rPr/>
        <w:t>(6), 1417–1429. https://doi.org/10.1111/j.1749-818X.2009.00174.x</w:t>
      </w:r>
    </w:p>
    <w:p>
      <w:pPr>
        <w:pStyle w:val="Reference"/>
      </w:pPr>
      <w:r>
        <w:t xml:space="preserve">R Core Team. (2024). </w:t>
      </w:r>
      <w:r>
        <w:rPr>
          <w:i/>
        </w:rPr>
        <w:t>R: A language and environment for statistical computing</w:t>
      </w:r>
      <w:r>
        <w:t>. R Foundation for Statistical Computing. https://www.R-project.org/</w:t>
      </w:r>
    </w:p>
    <w:p w14:paraId="05EA9DC8" w14:textId="77777777" w:rsidR="008215DC" w:rsidRDefault="00000000">
      <w:pPr>
        <w:pStyle w:val="Reference"/>
      </w:pPr>
      <w:proofErr w:type="spellStart"/>
      <w:r>
        <w:rPr/>
        <w:t>Skordos</w:t>
      </w:r>
      <w:proofErr w:type="spellEnd"/>
      <w:r>
        <w:rPr/>
        <w:t xml:space="preserve">, D., &amp; </w:t>
      </w:r>
      <w:proofErr w:type="spellStart"/>
      <w:r>
        <w:rPr/>
        <w:t>Papafragou</w:t>
      </w:r>
      <w:proofErr w:type="spellEnd"/>
      <w:r>
        <w:rPr/>
        <w:t xml:space="preserve">, A. (2016). Children’s derivation of scalar implicatures: Alternatives and relevance. </w:t>
      </w:r>
      <w:r>
        <w:rPr>
          <w:i/>
          <w:iCs/>
        </w:rPr>
        <w:t>Cognition, 153</w:t>
      </w:r>
      <w:r>
        <w:rPr/>
        <w:t xml:space="preserve">, 6–18. https://doi.org/10.1016/j.cognition.2016.04.006 </w:t>
      </w:r>
      <w:r>
        <w:rPr>
          <w:highlight w:val="yellow"/>
        </w:rPr>
        <w:t>⟦</w:t>
      </w:r>
      <w:proofErr w:type="spellStart"/>
      <w:r>
        <w:rPr>
          <w:highlight w:val="yellow"/>
        </w:rPr>
        <w:t>待核：DOI</w:t>
      </w:r>
      <w:proofErr w:type="spellEnd"/>
      <w:r>
        <w:rPr>
          <w:highlight w:val="yellow"/>
        </w:rPr>
        <w:t>⟧</w:t>
      </w:r>
    </w:p>
    <w:p>
      <w:pPr>
        <w:pStyle w:val="Reference"/>
      </w:pPr>
      <w:r>
        <w:t xml:space="preserve">Speer, R. (2022). </w:t>
      </w:r>
      <w:r>
        <w:rPr>
          <w:i/>
        </w:rPr>
        <w:t>wordfreq</w:t>
      </w:r>
      <w:r>
        <w:t xml:space="preserve"> (Version 3.0) [Computer software]. Zenodo. https://doi.org/10.5281/zenodo.7199437 </w:t>
      </w:r>
      <w:r>
        <w:rPr>
          <w:highlight w:val="yellow"/>
        </w:rPr>
        <w:t>⟦待核：所用版本为 3.1.1；DOI⟧</w:t>
      </w:r>
    </w:p>
    <w:p w14:paraId="14B3BEA7" w14:textId="77777777" w:rsidR="008215DC" w:rsidRDefault="00000000">
      <w:pPr>
        <w:pStyle w:val="Reference"/>
      </w:pPr>
      <w:r>
        <w:rPr/>
        <w:t xml:space="preserve">Sybesma, R. (1999). </w:t>
      </w:r>
      <w:r>
        <w:rPr>
          <w:i/>
          <w:iCs/>
        </w:rPr>
        <w:t>The Mandarin VP</w:t>
      </w:r>
      <w:r>
        <w:rPr/>
        <w:t>. Kluwer Academic.</w:t>
      </w:r>
    </w:p>
    <w:p w14:paraId="4EA5BA99" w14:textId="77777777" w:rsidR="008215DC" w:rsidRDefault="00000000">
      <w:pPr>
        <w:pStyle w:val="Reference"/>
      </w:pPr>
      <w:r>
        <w:rPr/>
        <w:t xml:space="preserve">Tai, J. H.-Y. (1984). Verbs and times in Chinese: Vendler’s four categories. In D. Testen, V. Mishra, &amp; J. Drogo (Eds.), </w:t>
      </w:r>
      <w:r>
        <w:rPr>
          <w:i/>
          <w:iCs/>
        </w:rPr>
        <w:t xml:space="preserve">Papers from the </w:t>
      </w:r>
      <w:proofErr w:type="spellStart"/>
      <w:r>
        <w:rPr>
          <w:i/>
          <w:iCs/>
        </w:rPr>
        <w:t>parasession</w:t>
      </w:r>
      <w:proofErr w:type="spellEnd"/>
      <w:r>
        <w:rPr>
          <w:i/>
          <w:iCs/>
        </w:rPr>
        <w:t xml:space="preserve"> on lexical semantics</w:t>
      </w:r>
      <w:r>
        <w:rPr/>
        <w:t xml:space="preserve"> (pp. 289–296). Chicago Linguistic Society. </w:t>
      </w:r>
      <w:r>
        <w:rPr>
          <w:highlight w:val="yellow"/>
        </w:rPr>
        <w:t>⟦</w:t>
      </w:r>
      <w:proofErr w:type="spellStart"/>
      <w:r>
        <w:rPr>
          <w:highlight w:val="yellow"/>
        </w:rPr>
        <w:t>待核：题名</w:t>
      </w:r>
      <w:proofErr w:type="spellEnd"/>
      <w:r>
        <w:rPr>
          <w:highlight w:val="yellow"/>
        </w:rPr>
        <w:t xml:space="preserve"> time/times⟧</w:t>
      </w:r>
    </w:p>
    <w:p w14:paraId="46F466AF" w14:textId="77777777" w:rsidR="008215DC" w:rsidRDefault="00000000">
      <w:pPr>
        <w:pStyle w:val="Reference"/>
      </w:pPr>
      <w:proofErr w:type="spellStart"/>
      <w:r>
        <w:rPr/>
        <w:t>Talmy</w:t>
      </w:r>
      <w:proofErr w:type="spellEnd"/>
      <w:r>
        <w:rPr/>
        <w:t xml:space="preserve">, L. (1991). Path to realization: A typology of event conflation. </w:t>
      </w:r>
      <w:r>
        <w:rPr>
          <w:i/>
          <w:iCs/>
        </w:rPr>
        <w:t>Proceedings of the Annual Meeting of the Berkeley Linguistics Society, 17</w:t>
      </w:r>
      <w:r>
        <w:rPr/>
        <w:t>, 480–519. https://doi.org/10.3765/bls.v17i0.1620</w:t>
      </w:r>
    </w:p>
    <w:p w14:paraId="29141F04" w14:textId="77777777" w:rsidR="008215DC" w:rsidRDefault="00000000">
      <w:pPr>
        <w:pStyle w:val="Reference"/>
      </w:pPr>
      <w:proofErr w:type="spellStart"/>
      <w:r>
        <w:rPr/>
        <w:lastRenderedPageBreak/>
        <w:t>Talmy</w:t>
      </w:r>
      <w:proofErr w:type="spellEnd"/>
      <w:r>
        <w:rPr/>
        <w:t xml:space="preserve">, L. (2000). </w:t>
      </w:r>
      <w:r>
        <w:rPr>
          <w:i/>
          <w:iCs/>
        </w:rPr>
        <w:t>Toward a cognitive semantics: Vol. 2. Typology and process in concept structuring</w:t>
      </w:r>
      <w:r>
        <w:rPr/>
        <w:t>. MIT Press.</w:t>
      </w:r>
    </w:p>
    <w:p>
      <w:pPr>
        <w:pStyle w:val="Reference"/>
      </w:pPr>
      <w:r>
        <w:t xml:space="preserve">Westfall, J., Kenny, D. A., &amp; Judd, C. M. (2014). Statistical power and optimal design in experiments in which samples of participants respond to samples of stimuli. </w:t>
      </w:r>
      <w:r>
        <w:rPr>
          <w:i/>
        </w:rPr>
        <w:t>Journal of Experimental Psychology: General, 143</w:t>
      </w:r>
      <w:r>
        <w:t>(5), 2020–2045. https://doi.org/10.1037/xge0000014</w:t>
      </w:r>
    </w:p>
    <w:p>
      <w:pPr>
        <w:pStyle w:val="Reference"/>
      </w:pPr>
      <w:r>
        <w:t xml:space="preserve">Zhan, W., Guo, R., Chang, B., Chen, Y., &amp; Chen, L. (2019). The building of the CCL corpus: Its design and implementation. </w:t>
      </w:r>
      <w:r>
        <w:rPr>
          <w:i/>
        </w:rPr>
        <w:t>Corpus Linguistics, 6</w:t>
      </w:r>
      <w:r>
        <w:t xml:space="preserve">(1), 71–86. </w:t>
      </w:r>
      <w:r>
        <w:rPr>
          <w:highlight w:val="yellow"/>
        </w:rPr>
        <w:t>⟦待核：作者、题名与卷期⟧</w:t>
      </w:r>
    </w:p>
    <w:sectPr w:rsidR="008215DC">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70147" w14:textId="77777777" w:rsidR="00782C6A" w:rsidRDefault="00782C6A">
      <w:r>
        <w:separator/>
      </w:r>
    </w:p>
  </w:endnote>
  <w:endnote w:type="continuationSeparator" w:id="0">
    <w:p w14:paraId="2C94D978" w14:textId="77777777" w:rsidR="00782C6A" w:rsidRDefault="00782C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7D075" w14:textId="77777777" w:rsidR="00782C6A" w:rsidRDefault="00782C6A">
      <w:r>
        <w:separator/>
      </w:r>
    </w:p>
  </w:footnote>
  <w:footnote w:type="continuationSeparator" w:id="0">
    <w:p w14:paraId="028863D4" w14:textId="77777777" w:rsidR="00782C6A" w:rsidRDefault="00782C6A">
      <w:r>
        <w:continuationSeparator/>
      </w:r>
    </w:p>
  </w:footnote>
  <w:footnote w:id="1">
    <w:p w14:paraId="4438070C" w14:textId="76650FB1" w:rsidR="008215DC" w:rsidRDefault="00000000">
      <w:r>
        <w:rPr>
          <w:rStyle w:val="FootnoteReference"/>
        </w:rPr>
        <w:footnoteRef/>
      </w:r>
      <w:r>
        <w:rPr>
          <w:rFonts w:eastAsia="Times New Roman"/>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w:t>
      </w:r>
      <w:r w:rsidR="005B1EF1" w:rsidRPr="005B1EF1">
        <w:rPr>
          <w:sz w:val="20"/>
          <w:szCs w:val="20"/>
        </w:rPr>
        <w:t>(Martin, 2019; see J. Liu, 2018, for Mandarin)</w:t>
      </w:r>
      <w:r>
        <w:rPr>
          <w:rFonts w:eastAsia="Times New Roman"/>
          <w:sz w:val="20"/>
          <w:szCs w:val="20"/>
        </w:rPr>
        <w:t xml:space="preserve">. Throughout, the </w:t>
      </w:r>
      <w:r>
        <w:rPr>
          <w:rFonts w:eastAsia="Times New Roman"/>
          <w:i/>
          <w:iCs/>
          <w:sz w:val="20"/>
          <w:szCs w:val="20"/>
        </w:rPr>
        <w:t>target result</w:t>
      </w:r>
      <w:r>
        <w:rPr>
          <w:rFonts w:eastAsia="Times New Roman"/>
          <w:sz w:val="20"/>
          <w:szCs w:val="20"/>
        </w:rPr>
        <w:t xml:space="preserve"> is the result expressed by V2 in the paired RVC; </w:t>
      </w:r>
      <w:r>
        <w:rPr>
          <w:rFonts w:eastAsia="Times New Roman"/>
          <w:i/>
          <w:iCs/>
          <w:sz w:val="20"/>
          <w:szCs w:val="20"/>
        </w:rPr>
        <w:t>target</w:t>
      </w:r>
      <w:r>
        <w:rPr>
          <w:rFonts w:eastAsia="Times New Roman"/>
          <w:sz w:val="20"/>
          <w:szCs w:val="20"/>
        </w:rPr>
        <w:t xml:space="preserve"> does not imply that the result is intended or expected. In </w:t>
      </w:r>
      <w:r>
        <w:rPr>
          <w:rFonts w:eastAsia="Times New Roman"/>
          <w:i/>
          <w:iCs/>
          <w:sz w:val="20"/>
          <w:szCs w:val="20"/>
        </w:rPr>
        <w:t>full-result</w:t>
      </w:r>
      <w:r>
        <w:rPr>
          <w:rFonts w:eastAsia="Times New Roman"/>
          <w:sz w:val="20"/>
          <w:szCs w:val="20"/>
        </w:rPr>
        <w:t xml:space="preserve"> events the target result is visibly attained; in </w:t>
      </w:r>
      <w:r>
        <w:rPr>
          <w:rFonts w:eastAsia="Times New Roman"/>
          <w:i/>
          <w:iCs/>
          <w:sz w:val="20"/>
          <w:szCs w:val="20"/>
        </w:rPr>
        <w:t>zero-result</w:t>
      </w:r>
      <w:r>
        <w:rPr>
          <w:rFonts w:eastAsia="Times New Roman"/>
          <w:sz w:val="20"/>
          <w:szCs w:val="20"/>
        </w:rPr>
        <w:t xml:space="preserve"> events the action is performed but the target result is not attained.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E29EA" w14:textId="77777777" w:rsidR="008215DC" w:rsidRDefault="00000000">
    <w:pPr>
      <w:jc w:val="right"/>
    </w:pPr>
    <w:r>
      <w:fldChar w:fldCharType="begin"/>
    </w:r>
    <w:r>
      <w:rPr>
        <w:rFonts w:eastAsia="Times New Roman"/>
      </w:rPr>
      <w:instrText>PAGE</w:instrText>
    </w:r>
    <w:r>
      <w:fldChar w:fldCharType="separate"/>
    </w:r>
    <w:r w:rsidR="005B1EF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43E95"/>
    <w:multiLevelType w:val="hybridMultilevel"/>
    <w:tmpl w:val="40545928"/>
    <w:lvl w:ilvl="0" w:tplc="B2F2828E">
      <w:start w:val="1"/>
      <w:numFmt w:val="bullet"/>
      <w:lvlText w:val="●"/>
      <w:lvlJc w:val="left"/>
      <w:pPr>
        <w:ind w:left="720" w:hanging="360"/>
      </w:pPr>
    </w:lvl>
    <w:lvl w:ilvl="1" w:tplc="EB4E968C">
      <w:start w:val="1"/>
      <w:numFmt w:val="bullet"/>
      <w:lvlText w:val="○"/>
      <w:lvlJc w:val="left"/>
      <w:pPr>
        <w:ind w:left="1440" w:hanging="360"/>
      </w:pPr>
    </w:lvl>
    <w:lvl w:ilvl="2" w:tplc="06322E6A">
      <w:start w:val="1"/>
      <w:numFmt w:val="bullet"/>
      <w:lvlText w:val="■"/>
      <w:lvlJc w:val="left"/>
      <w:pPr>
        <w:ind w:left="2160" w:hanging="360"/>
      </w:pPr>
    </w:lvl>
    <w:lvl w:ilvl="3" w:tplc="166CA43C">
      <w:start w:val="1"/>
      <w:numFmt w:val="bullet"/>
      <w:lvlText w:val="●"/>
      <w:lvlJc w:val="left"/>
      <w:pPr>
        <w:ind w:left="2880" w:hanging="360"/>
      </w:pPr>
    </w:lvl>
    <w:lvl w:ilvl="4" w:tplc="1FA67018">
      <w:start w:val="1"/>
      <w:numFmt w:val="bullet"/>
      <w:lvlText w:val="○"/>
      <w:lvlJc w:val="left"/>
      <w:pPr>
        <w:ind w:left="3600" w:hanging="360"/>
      </w:pPr>
    </w:lvl>
    <w:lvl w:ilvl="5" w:tplc="BFE07F8C">
      <w:start w:val="1"/>
      <w:numFmt w:val="bullet"/>
      <w:lvlText w:val="■"/>
      <w:lvlJc w:val="left"/>
      <w:pPr>
        <w:ind w:left="4320" w:hanging="360"/>
      </w:pPr>
    </w:lvl>
    <w:lvl w:ilvl="6" w:tplc="B0DEC3B8">
      <w:start w:val="1"/>
      <w:numFmt w:val="bullet"/>
      <w:lvlText w:val="●"/>
      <w:lvlJc w:val="left"/>
      <w:pPr>
        <w:ind w:left="5040" w:hanging="360"/>
      </w:pPr>
    </w:lvl>
    <w:lvl w:ilvl="7" w:tplc="225EE32C">
      <w:start w:val="1"/>
      <w:numFmt w:val="bullet"/>
      <w:lvlText w:val="●"/>
      <w:lvlJc w:val="left"/>
      <w:pPr>
        <w:ind w:left="5760" w:hanging="360"/>
      </w:pPr>
    </w:lvl>
    <w:lvl w:ilvl="8" w:tplc="D31ED738">
      <w:start w:val="1"/>
      <w:numFmt w:val="bullet"/>
      <w:lvlText w:val="●"/>
      <w:lvlJc w:val="left"/>
      <w:pPr>
        <w:ind w:left="6480" w:hanging="360"/>
      </w:pPr>
    </w:lvl>
  </w:abstractNum>
  <w:num w:numId="1" w16cid:durableId="874273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5DC"/>
    <w:rsid w:val="00197B71"/>
    <w:rsid w:val="003B797C"/>
    <w:rsid w:val="00447DD2"/>
    <w:rsid w:val="00477123"/>
    <w:rsid w:val="004B1F49"/>
    <w:rsid w:val="0055310B"/>
    <w:rsid w:val="005B1EF1"/>
    <w:rsid w:val="005E64BA"/>
    <w:rsid w:val="005F1988"/>
    <w:rsid w:val="00706240"/>
    <w:rsid w:val="00782C6A"/>
    <w:rsid w:val="008215DC"/>
    <w:rsid w:val="009B1284"/>
    <w:rsid w:val="00B64FC7"/>
    <w:rsid w:val="00C3541B"/>
    <w:rsid w:val="00C37B3C"/>
    <w:rsid w:val="00DF4AE6"/>
    <w:rsid w:val="00EA6370"/>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2DC3F"/>
  <w15:docId w15:val="{11E77BF7-A15E-42B5-A01A-4ECCE1CCA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N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keepNext w:val="0"/>
      <w:pageBreakBefore w:val="0"/>
      <w:spacing w:line="480" w:lineRule="auto" w:before="0" w:after="0"/>
      <w:ind w:firstLine="720"/>
    </w:pPr>
    <w:rPr>
      <w:rFonts w:ascii="Times New Roman" w:hAnsi="Times New Roman" w:cs="Times New Roman" w:eastAsia="Times New Roman"/>
      <w:b w:val="0"/>
      <w:i w:val="0"/>
      <w:color w:val="000000"/>
      <w:sz w:val="24"/>
    </w:rPr>
  </w:style>
  <w:style w:type="paragraph" w:styleId="Heading1">
    <w:name w:val="heading 1"/>
    <w:basedOn w:val="Normal"/>
    <w:next w:val="Normal"/>
    <w:uiPriority w:val="9"/>
    <w:qFormat/>
    <w:pPr>
      <w:keepNext/>
      <w:pageBreakBefore w:val="0"/>
      <w:spacing w:line="480" w:lineRule="auto" w:before="0" w:after="0"/>
      <w:ind w:firstLine="0"/>
      <w:jc w:val="center"/>
      <w:outlineLvl w:val="0"/>
    </w:pPr>
    <w:rPr>
      <w:rFonts w:ascii="Times New Roman" w:hAnsi="Times New Roman" w:cs="Times New Roman" w:eastAsia="Times New Roman"/>
      <w:b/>
      <w:i w:val="0"/>
      <w:color w:val="000000"/>
      <w:sz w:val="24"/>
      <w:szCs w:val="32"/>
    </w:rPr>
  </w:style>
  <w:style w:type="paragraph" w:styleId="Heading2">
    <w:name w:val="heading 2"/>
    <w:basedOn w:val="Normal"/>
    <w:next w:val="Normal"/>
    <w:uiPriority w:val="9"/>
    <w:semiHidden/>
    <w:unhideWhenUsed/>
    <w:qFormat/>
    <w:pPr>
      <w:keepNext/>
      <w:pageBreakBefore w:val="0"/>
      <w:spacing w:line="480" w:lineRule="auto" w:before="0" w:after="0"/>
      <w:ind w:firstLine="0"/>
      <w:jc w:val="left"/>
      <w:outlineLvl w:val="1"/>
    </w:pPr>
    <w:rPr>
      <w:rFonts w:ascii="Times New Roman" w:hAnsi="Times New Roman" w:cs="Times New Roman" w:eastAsia="Times New Roman"/>
      <w:b/>
      <w:i w:val="0"/>
      <w:color w:val="000000"/>
      <w:sz w:val="24"/>
      <w:szCs w:val="26"/>
    </w:rPr>
  </w:style>
  <w:style w:type="paragraph" w:styleId="Heading3">
    <w:name w:val="heading 3"/>
    <w:basedOn w:val="Normal"/>
    <w:next w:val="Normal"/>
    <w:uiPriority w:val="9"/>
    <w:semiHidden/>
    <w:unhideWhenUsed/>
    <w:qFormat/>
    <w:pPr>
      <w:keepNext/>
      <w:pageBreakBefore w:val="0"/>
      <w:spacing w:line="480" w:lineRule="auto" w:before="0" w:after="0"/>
      <w:ind w:firstLine="0"/>
      <w:jc w:val="left"/>
      <w:outlineLvl w:val="2"/>
    </w:pPr>
    <w:rPr>
      <w:rFonts w:ascii="Times New Roman" w:hAnsi="Times New Roman" w:cs="Times New Roman" w:eastAsia="Times New Roman"/>
      <w:b/>
      <w:i/>
      <w:color w:val="000000"/>
      <w:sz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val="0"/>
      <w:pageBreakBefore w:val="0"/>
      <w:spacing w:line="480" w:lineRule="auto" w:before="0" w:after="0"/>
      <w:ind w:firstLine="0"/>
      <w:jc w:val="center"/>
    </w:pPr>
    <w:rPr>
      <w:rFonts w:ascii="Times New Roman" w:hAnsi="Times New Roman" w:cs="Times New Roman" w:eastAsia="Times New Roman"/>
      <w:b/>
      <w:i w:val="0"/>
      <w:color w:val="000000"/>
      <w:sz w:val="24"/>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xample">
    <w:name w:val="Example"/>
    <w:basedOn w:val="Normal"/>
    <w:pPr>
      <w:keepNext/>
      <w:pageBreakBefore w:val="0"/>
      <w:tabs>
        <w:tab w:pos="720" w:val="left"/>
        <w:tab w:pos="1260" w:val="left"/>
      </w:tabs>
      <w:spacing w:line="240" w:lineRule="auto" w:before="0" w:after="0"/>
      <w:ind w:firstLine="0"/>
    </w:pPr>
    <w:rPr>
      <w:rFonts w:ascii="Times New Roman" w:hAnsi="Times New Roman" w:cs="Times New Roman" w:eastAsia="Times New Roman"/>
      <w:b w:val="0"/>
      <w:i w:val="0"/>
      <w:color w:val="000000"/>
      <w:sz w:val="24"/>
    </w:rPr>
  </w:style>
  <w:style w:type="paragraph" w:customStyle="1" w:styleId="ExampleLast">
    <w:name w:val="Example Last"/>
    <w:basedOn w:val="Example"/>
    <w:pPr>
      <w:keepNext w:val="0"/>
      <w:pageBreakBefore w:val="0"/>
      <w:tabs>
        <w:tab w:pos="720" w:val="left"/>
        <w:tab w:pos="1260" w:val="left"/>
      </w:tabs>
      <w:spacing w:line="240" w:lineRule="auto" w:before="0" w:after="240"/>
      <w:ind w:firstLine="0"/>
    </w:pPr>
    <w:rPr>
      <w:rFonts w:ascii="Times New Roman" w:hAnsi="Times New Roman" w:cs="Times New Roman" w:eastAsia="Times New Roman"/>
      <w:b w:val="0"/>
      <w:i w:val="0"/>
      <w:color w:val="000000"/>
      <w:sz w:val="24"/>
    </w:rPr>
  </w:style>
  <w:style w:type="paragraph" w:customStyle="1" w:styleId="ExampleFirst">
    <w:name w:val="Example First"/>
    <w:basedOn w:val="Example"/>
    <w:pPr>
      <w:keepNext/>
      <w:pageBreakBefore w:val="0"/>
      <w:tabs>
        <w:tab w:pos="720" w:val="left"/>
        <w:tab w:pos="1260" w:val="left"/>
      </w:tabs>
      <w:spacing w:line="240" w:lineRule="auto" w:before="240" w:after="0"/>
      <w:ind w:firstLine="0"/>
    </w:pPr>
    <w:rPr>
      <w:rFonts w:ascii="Times New Roman" w:hAnsi="Times New Roman" w:cs="Times New Roman" w:eastAsia="Times New Roman"/>
      <w:b w:val="0"/>
      <w:i w:val="0"/>
      <w:color w:val="000000"/>
      <w:sz w:val="24"/>
    </w:rPr>
  </w:style>
  <w:style w:type="paragraph" w:customStyle="1" w:styleId="ResearchQuestion">
    <w:name w:val="Research Question"/>
    <w:basedOn w:val="Normal"/>
    <w:pPr>
      <w:keepNext w:val="0"/>
      <w:pageBreakBefore w:val="0"/>
      <w:spacing w:line="480" w:lineRule="auto" w:before="0" w:after="0"/>
      <w:ind w:firstLine="0" w:left="720"/>
    </w:pPr>
    <w:rPr>
      <w:rFonts w:ascii="Times New Roman" w:hAnsi="Times New Roman" w:cs="Times New Roman" w:eastAsia="Times New Roman"/>
      <w:b w:val="0"/>
      <w:i w:val="0"/>
      <w:color w:val="000000"/>
      <w:sz w:val="24"/>
    </w:rPr>
  </w:style>
  <w:style w:type="paragraph" w:customStyle="1" w:styleId="Reference">
    <w:name w:val="Reference"/>
    <w:basedOn w:val="Normal"/>
    <w:pPr>
      <w:keepNext w:val="0"/>
      <w:pageBreakBefore w:val="0"/>
      <w:spacing w:line="480" w:lineRule="auto" w:before="0" w:after="0"/>
      <w:ind w:left="720" w:hanging="720"/>
    </w:pPr>
    <w:rPr>
      <w:rFonts w:ascii="Times New Roman" w:hAnsi="Times New Roman" w:cs="Times New Roman" w:eastAsia="Times New Roman"/>
      <w:b w:val="0"/>
      <w:i w:val="0"/>
      <w:color w:val="000000"/>
      <w:sz w:val="24"/>
    </w:rPr>
  </w:style>
  <w:style w:type="paragraph" w:customStyle="1" w:styleId="TableNumber">
    <w:name w:val="Table Number"/>
    <w:basedOn w:val="Normal"/>
    <w:pPr>
      <w:keepNext/>
      <w:pageBreakBefore w:val="0"/>
      <w:spacing w:line="480" w:lineRule="auto" w:before="240" w:after="0"/>
      <w:ind w:firstLine="0"/>
    </w:pPr>
    <w:rPr>
      <w:rFonts w:ascii="Times New Roman" w:hAnsi="Times New Roman" w:cs="Times New Roman" w:eastAsia="Times New Roman"/>
      <w:b/>
      <w:i w:val="0"/>
      <w:color w:val="000000"/>
      <w:sz w:val="24"/>
    </w:rPr>
  </w:style>
  <w:style w:type="paragraph" w:customStyle="1" w:styleId="TableTitle">
    <w:name w:val="Table Title"/>
    <w:basedOn w:val="Normal"/>
    <w:pPr>
      <w:keepNext/>
      <w:pageBreakBefore w:val="0"/>
      <w:spacing w:line="480" w:lineRule="auto" w:before="0" w:after="0"/>
      <w:ind w:firstLine="0"/>
    </w:pPr>
    <w:rPr>
      <w:rFonts w:ascii="Times New Roman" w:hAnsi="Times New Roman" w:cs="Times New Roman" w:eastAsia="Times New Roman"/>
      <w:b w:val="0"/>
      <w:i/>
      <w:color w:val="000000"/>
      <w:sz w:val="24"/>
    </w:rPr>
  </w:style>
  <w:style w:type="paragraph" w:customStyle="1" w:styleId="TableText">
    <w:name w:val="Table Text"/>
    <w:basedOn w:val="Normal"/>
    <w:pPr>
      <w:keepNext w:val="0"/>
      <w:pageBreakBefore w:val="0"/>
      <w:spacing w:line="240" w:lineRule="auto" w:before="0" w:after="0"/>
      <w:ind w:firstLine="0"/>
    </w:pPr>
    <w:rPr>
      <w:rFonts w:ascii="Times New Roman" w:hAnsi="Times New Roman" w:cs="Times New Roman" w:eastAsia="Times New Roman"/>
      <w:b w:val="0"/>
      <w:i w:val="0"/>
      <w:color w:val="000000"/>
      <w:sz w:val="20"/>
    </w:rPr>
  </w:style>
  <w:style w:type="paragraph" w:customStyle="1" w:styleId="TableNote">
    <w:name w:val="Table Note"/>
    <w:basedOn w:val="Normal"/>
    <w:pPr>
      <w:keepNext w:val="0"/>
      <w:pageBreakBefore w:val="0"/>
      <w:spacing w:line="240" w:lineRule="auto" w:before="120" w:after="240"/>
      <w:ind w:firstLine="0"/>
    </w:pPr>
    <w:rPr>
      <w:rFonts w:ascii="Times New Roman" w:hAnsi="Times New Roman" w:cs="Times New Roman" w:eastAsia="Times New Roman"/>
      <w:b w:val="0"/>
      <w:i w:val="0"/>
      <w:color w:val="000000"/>
      <w:sz w:val="20"/>
    </w:rPr>
  </w:style>
  <w:style w:type="paragraph" w:customStyle="1" w:styleId="FootnoteText">
    <w:name w:val="Footnote Text"/>
    <w:pPr>
      <w:keepNext w:val="0"/>
      <w:pageBreakBefore w:val="0"/>
      <w:spacing w:line="240" w:lineRule="auto" w:before="0" w:after="0"/>
      <w:ind w:firstLine="0"/>
    </w:pPr>
    <w:rPr>
      <w:rFonts w:ascii="Times New Roman" w:hAnsi="Times New Roman" w:cs="Times New Roman" w:eastAsia="Times New Roman"/>
      <w:b w:val="0"/>
      <w:i w:val="0"/>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FCED-07B2-47CF-BA19-4EE58DDFD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15</Pages>
  <Words>3950</Words>
  <Characters>22520</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Xiaotao Liu</cp:lastModifiedBy>
  <cp:revision>2</cp:revision>
  <dcterms:created xsi:type="dcterms:W3CDTF">2026-10-14T04:12:00Z</dcterms:created>
  <dcterms:modified xsi:type="dcterms:W3CDTF">2026-10-14T08:14:00Z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21c2175717a9641ba79006e3f9f5582619493616767e9ba2f6b6d12ac52b7504</vt:lpwstr>
  </property>
</Properties>
</file>