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58A1352D" w14:textId="77777777" w:rsidR="008215DC" w:rsidRDefault="00000000">
      <w:pPr>
        <w:pStyle w:val="Heading1"/>
      </w:pPr>
      <w:r>
        <w:rPr/>
        <w:t xml:space="preserve">Abstract</w:t>
      </w:r>
    </w:p>
    <w:p w14:paraId="58A1352D" w14:textId="77777777" w:rsidR="008215DC" w:rsidRDefault="00000000">
      <w:pPr>
        <w:ind w:firstLine="0"/>
      </w:pPr>
      <w:r>
        <w:rPr/>
        <w:t xml:space="preserve">Mandarin resultative verb compounds (RVCs), such as </w:t>
      </w:r>
      <w:r>
        <w:rPr>
          <w:i/>
        </w:rPr>
        <w:t xml:space="preserve">chuī-miè</w:t>
      </w:r>
      <w:r>
        <w:rPr/>
        <w:t xml:space="preserve"> “blow-extinguished,” entail the result named by the second verb, whereas their monomorphemic first verbs (V1s), such as </w:t>
      </w:r>
      <w:r>
        <w:rPr>
          <w:i/>
        </w:rPr>
        <w:t xml:space="preserve">chuī</w:t>
      </w:r>
      <w:r>
        <w:rPr/>
        <w:t xml:space="preserve"> “blow,” only suggest it. This study examined how Mandarin-speaking 4- and 5-year-olds and adults interpret and describe events in which an action does or does not bring about a target result. The materials comprised pairs of actions performed on the same object with the same target result, which differed in how strongly the action was associated with the result, as verified by adult ratings of result likelihood and action typicality. In a yes–no judgment task (</w:t>
      </w:r>
      <w:r>
        <w:rPr>
          <w:i/>
        </w:rPr>
        <w:t xml:space="preserve">N</w:t>
      </w:r>
      <w:r>
        <w:rPr/>
        <w:t xml:space="preserve"> = 104), all age groups rejected RVC descriptions of zero-result events and accepted V1 descriptions of these events more often, although children accepted V1 descriptions less often than adults. In all groups, V1 descriptions of zero-result events were accepted less often when the V1 named an action more strongly associated with the result. This association effect did not differ credibly between children and adults, and children’s lower acceptance held for both stronger- and weaker-association V1s. In an elicited-production task (</w:t>
      </w:r>
      <w:r>
        <w:rPr>
          <w:i/>
        </w:rPr>
        <w:t xml:space="preserve">N</w:t>
      </w:r>
      <w:r>
        <w:rPr/>
        <w:t xml:space="preserve"> = 104), all groups produced fewer RVCs and mentioned the result less often for zero-result events, and children produced fewer RVCs than adults mainly because they mentioned the result less often. The findings suggest that what a V1 conveys about a result depends on the relation between the named action and the result, for children as for adults.</w:t>
      </w:r>
    </w:p>
    <w:p w14:paraId="58A1352D" w14:textId="77777777" w:rsidR="008215DC" w:rsidRDefault="00000000">
      <w:pPr>
        <w:pageBreakBefore w:val="0"/>
        <w:ind w:firstLine="720"/>
      </w:pPr>
      <w:r>
        <w:rPr>
          <w:i/>
        </w:rPr>
        <w:t xml:space="preserve">Keywords:</w:t>
      </w:r>
      <w:r>
        <w:rPr/>
        <w:t xml:space="preserve"> resultative verb compounds, Mandarin Chinese, event culmination, action–result association, verb semantics, comprehension and production</w:t>
      </w:r>
    </w:p>
    <w:p w14:paraId="58A1352D" w14:textId="77777777" w:rsidR="008215DC" w:rsidRDefault="00000000">
      <w:pPr>
        <w:pStyle w:val="Title"/>
        <w:pageBreakBefore/>
      </w:pPr>
      <w:r>
        <w:rPr/>
        <w:t xml:space="preserve">Mandarin-Speaking Children’s Interpretation and Expression of Actions and Results: Evidence From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t>4ᵉ</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kāi</w:t>
            </w:r>
            <w:r>
              <w:br/>
              <w:t>“open”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sī-kāi</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2,810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chě</w:t>
            </w:r>
            <w:r>
              <w:br/>
              <w:t>“pull”</w:t>
            </w:r>
          </w:p>
        </w:tc>
        <w:tc>
          <w:tcPr>
            <w:tcW w:w="1368" w:type="dxa"/>
          </w:tcPr>
          <w:p w14:paraId="06139747" w14:textId="77777777" w:rsidR="009D4CF3" w:rsidRDefault="00000000">
            <w:pPr>
              <w:pStyle w:val="TableText"/>
              <w:keepNext/>
            </w:pPr>
            <w:r>
              <w:rPr>
                <w:i/>
              </w:rPr>
              <w:t>chě-kāi</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840ᵈ</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10ᵉ</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kāi</w:t>
            </w:r>
            <w:r>
              <w:br/>
              <w:t>“open”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jiā-kāi</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21</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chuí-kāi</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w:t>
      </w:r>
      <w:r>
        <w:rPr/>
        <w:t xml:space="preserve">ᶜ Includes many abstract uses. ᵈ Includes idiomatic uses such as </w:t>
      </w:r>
      <w:r>
        <w:rPr>
          <w:i/>
        </w:rPr>
        <w:t xml:space="preserve">chě-kāi sǎngzi</w:t>
      </w:r>
      <w:r>
        <w:rPr/>
        <w:t xml:space="preserve"> “pull-open throat,” “raise one’s voice.” ᵉ The rating items for this pair used </w:t>
      </w:r>
      <w:r>
        <w:rPr>
          <w:i/>
        </w:rPr>
        <w:t xml:space="preserve">zhuài</w:t>
      </w:r>
      <w:r>
        <w:rPr/>
        <w:t xml:space="preserve"> “drag” instead of </w:t>
      </w:r>
      <w:r>
        <w:rPr>
          <w:i/>
        </w:rPr>
        <w:t xml:space="preserve">chě</w:t>
      </w:r>
      <w:r>
        <w:rPr/>
        <w:t xml:space="preserve"> and the target result </w:t>
      </w:r>
      <w:r>
        <w:rPr>
          <w:i/>
        </w:rPr>
        <w:t xml:space="preserve">pò</w:t>
      </w:r>
      <w:r>
        <w:rPr/>
        <w:t xml:space="preserve"> “torn” (Pair 4) or </w:t>
      </w:r>
      <w:r>
        <w:rPr>
          <w:i/>
        </w:rPr>
        <w:t xml:space="preserve">suì</w:t>
      </w:r>
      <w:r>
        <w:rPr/>
        <w:t xml:space="preserve"> “smashed” (Pair 10) instead of </w:t>
      </w:r>
      <w:r>
        <w:rPr>
          <w:i/>
        </w:rPr>
        <w:t xml:space="preserve">kāi</w:t>
      </w:r>
      <w:r>
        <w:rPr/>
        <w:t xml:space="preserve"> “open.”</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w:t>
      </w:r>
      <w:r>
        <w:rPr/>
        <w:t xml:space="preserve"> Figure 1 shows stills from the four videos of one pair.</w:t>
      </w:r>
      <w:r>
        <w:rPr>
          <w:highlight w:val="yellow"/>
        </w:rPr>
      </w:r>
      <w:proofErr w:type="spellStart"/>
      <w:r>
        <w:rPr>
          <w:highlight w:val="yellow"/>
        </w:rPr>
      </w:r>
      <w:proofErr w:type="spellEnd"/>
      <w:r>
        <w:rPr>
          <w:highlight w:val="yellow"/>
        </w:rPr>
      </w:r>
    </w:p>
    <w:p w14:paraId="1FD25982" w14:textId="3047BDFB" w:rsidR="009D4CF3" w:rsidRPr="0055050F" w:rsidRDefault="00000000">
      <w:pPr>
        <w:pStyle w:val="TableNumber"/>
      </w:pPr>
      <w:r>
        <w:rPr/>
        <w:t xml:space="preserve">Figure 1</w:t>
      </w:r>
    </w:p>
    <w:p w14:paraId="1FD25982" w14:textId="3047BDFB" w:rsidR="009D4CF3" w:rsidRPr="0055050F" w:rsidRDefault="00000000">
      <w:pPr>
        <w:pStyle w:val="TableTitle"/>
      </w:pPr>
      <w:r>
        <w:rPr>
          <w:i/>
        </w:rPr>
        <w:t xml:space="preserve">Stills From the Full-Result and Zero-Result Videos of Pair 2</w:t>
      </w:r>
    </w:p>
    <w:p w14:paraId="1FD25982" w14:textId="3047BDFB" w:rsidR="009D4CF3" w:rsidRPr="0055050F" w:rsidRDefault="00000000">
      <w:pPr>
        <w:keepNext/>
        <w:ind w:firstLine="0"/>
        <w:jc w:val="center"/>
      </w:pPr>
      <w:r>
        <w:drawing>
          <wp:inline xmlns:a="http://schemas.openxmlformats.org/drawingml/2006/main" xmlns:pic="http://schemas.openxmlformats.org/drawingml/2006/picture">
            <wp:extent cx="5486400" cy="3525964"/>
            <wp:docPr id="4" name="Picture 4"/>
            <wp:cNvGraphicFramePr>
              <a:graphicFrameLocks noChangeAspect="1"/>
            </wp:cNvGraphicFramePr>
            <a:graphic>
              <a:graphicData uri="http://schemas.openxmlformats.org/drawingml/2006/picture">
                <pic:pic>
                  <pic:nvPicPr>
                    <pic:cNvPr id="0" name="fig1_stills.png"/>
                    <pic:cNvPicPr/>
                  </pic:nvPicPr>
                  <pic:blipFill>
                    <a:blip r:embed="rId14"/>
                    <a:stretch>
                      <a:fillRect/>
                    </a:stretch>
                  </pic:blipFill>
                  <pic:spPr>
                    <a:xfrm>
                      <a:off x="0" y="0"/>
                      <a:ext cx="5486400" cy="3525964"/>
                    </a:xfrm>
                    <a:prstGeom prst="rect"/>
                  </pic:spPr>
                </pic:pic>
              </a:graphicData>
            </a:graphic>
          </wp:inline>
        </w:drawing>
      </w:r>
    </w:p>
    <w:p w14:paraId="1FD25982" w14:textId="3047BDFB" w:rsidR="009D4CF3" w:rsidRPr="0055050F" w:rsidRDefault="00000000">
      <w:pPr>
        <w:pStyle w:val="TableNote"/>
      </w:pPr>
      <w:r>
        <w:rPr>
          <w:i/>
        </w:rPr>
        <w:t xml:space="preserve">Note.</w:t>
      </w:r>
      <w:r>
        <w:rPr/>
        <w:t xml:space="preserve"> The actor flips (</w:t>
      </w:r>
      <w:r>
        <w:rPr>
          <w:i/>
        </w:rPr>
        <w:t xml:space="preserve">xiān</w:t>
      </w:r>
      <w:r>
        <w:rPr/>
        <w:t xml:space="preserve">) or slaps (</w:t>
      </w:r>
      <w:r>
        <w:rPr>
          <w:i/>
        </w:rPr>
        <w:t xml:space="preserve">pāi</w:t>
      </w:r>
      <w:r>
        <w:rPr/>
        <w:t xml:space="preserve">) a stool; the target result is </w:t>
      </w:r>
      <w:r>
        <w:rPr>
          <w:i/>
        </w:rPr>
        <w:t xml:space="preserve">fān</w:t>
      </w:r>
      <w:r>
        <w:rPr/>
        <w:t xml:space="preserve"> “overturned.” Stills show the start, middle, and end of each video.</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w:t>
      </w:r>
      <w:r>
        <w:rPr/>
        <w:t xml:space="preserve"> Item-level values are given in Table A1 in the Appendix.</w:t>
      </w:r>
      <w:r>
        <w:rPr>
          <w:highlight w:val="yellow"/>
        </w:rPr>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 </w:t>
      </w:r>
      <w:r>
        <w:rPr>
          <w:highlight w:val="yellow"/>
        </w:rPr>
      </w:r>
      <w:r>
        <w:rPr/>
        <w:t xml:space="preserve">(9 female)</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w:t>
      </w:r>
      <w:r>
        <w:rPr/>
        <w:t xml:space="preserve">(e.g., </w:t>
      </w:r>
      <w:r>
        <w:rPr>
          <w:i/>
        </w:rPr>
        <w:t xml:space="preserve">chě-kāi sǎngzi</w:t>
      </w:r>
      <w:r>
        <w:rPr/>
        <w:t xml:space="preserve"> “pull-open throat,” “raise one’s voice”)</w:t>
      </w:r>
      <w:r>
        <w:rPr>
          <w:i/>
        </w:rPr>
      </w:r>
      <w:r>
        <w:t xml:space="preserv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w:t>
      </w:r>
      <w:r>
        <w:rPr/>
        <w:t xml:space="preserve">(14 female; 4;0–4;10, </w:t>
      </w:r>
      <w:r>
        <w:rPr>
          <w:i/>
        </w:rPr>
        <w:t xml:space="preserve">M</w:t>
      </w:r>
      <w:r>
        <w:rPr/>
        <w:t xml:space="preserve"> = 4;7)</w:t>
      </w:r>
      <w:r>
        <w:rPr>
          <w:highlight w:val="yellow"/>
        </w:rPr>
      </w:r>
      <w:r>
        <w:t xml:space="preserve">, 32 five-year-olds </w:t>
      </w:r>
      <w:r>
        <w:rPr/>
        <w:t xml:space="preserve">(15 female; 5;0–5;11, </w:t>
      </w:r>
      <w:r>
        <w:rPr>
          <w:i/>
        </w:rPr>
        <w:t xml:space="preserve">M</w:t>
      </w:r>
      <w:r>
        <w:rPr/>
        <w:t xml:space="preserve"> = 5;5)</w:t>
      </w:r>
      <w:r>
        <w:rPr>
          <w:highlight w:val="yellow"/>
        </w:rPr>
      </w:r>
      <w:r>
        <w:t xml:space="preserve">, and 40 adults (18 female; </w:t>
      </w:r>
      <w:r>
        <w:rPr/>
        <w:t xml:space="preserve">18;4–37;3 years, </w:t>
      </w:r>
      <w:r>
        <w:rPr>
          <w:i/>
        </w:rPr>
        <w:t xml:space="preserve">M</w:t>
      </w:r>
      <w:r>
        <w:rPr/>
        <w:t xml:space="preserve"> = 23.1</w:t>
      </w:r>
      <w:r>
        <w:rPr>
          <w:i/>
        </w:rPr>
      </w:r>
      <w:r>
        <w:t>).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rPr/>
        <w:t xml:space="preserve">Accuracy on filler trials was 100% for adults, 97% for 4-year-olds, and 95% for 5-year-olds, and no participant was excluded. The data comprise 1,040 critical responses, of which 832 belong to the eight retained pairs (416 RVC and 416 V1 trials). All models converged (R̂ ≤ 1.005; at most one divergent transition per model). Below, raw percentages are reported together with model-predicted acceptance (posterior medians with 95% credible intervals [CrIs], population-level predictions). Because the model predictions set item and participant effects to zero, they can differ from the raw percentages when acceptance varies strongly across items.</w:t>
      </w:r>
    </w:p>
    <w:p w14:paraId="3589F7A8" w14:textId="77777777" w:rsidR="009D4CF3" w:rsidRDefault="00000000">
      <w:pPr>
        <w:pStyle w:val="Heading3"/>
      </w:pPr>
      <w:r>
        <w:rPr/>
        <w:t xml:space="preserve">RVC and V1 Descriptions</w:t>
      </w:r>
    </w:p>
    <w:p w14:paraId="3589F7A8" w14:textId="77777777" w:rsidR="009D4CF3" w:rsidRDefault="00000000">
      <w:pPr/>
      <w:r>
        <w:rPr/>
        <w:t xml:space="preserve">Figure 2 shows acceptance by form, result realization, and age group. In full-result events, both forms were accepted at high rates in all groups (RVC descriptions: 92%–94%; V1 descriptions: 97%–100%). In zero-result events, RVC descriptions were rarely accepted (4-year-olds: 19%; 5-year-olds: 11%; adults: 1%), whereas V1 descriptions were accepted more often (55%, 58%, and 83%, respectively).</w:t>
      </w:r>
    </w:p>
    <w:p w14:paraId="3589F7A8" w14:textId="77777777" w:rsidR="009D4CF3" w:rsidRDefault="00000000">
      <w:pPr>
        <w:pStyle w:val="TableNumber"/>
      </w:pPr>
      <w:r>
        <w:rPr/>
        <w:t xml:space="preserve">Figure 2</w:t>
      </w:r>
    </w:p>
    <w:p w14:paraId="3589F7A8" w14:textId="77777777" w:rsidR="009D4CF3" w:rsidRDefault="00000000">
      <w:pPr>
        <w:pStyle w:val="TableTitle"/>
      </w:pPr>
      <w:r>
        <w:rPr>
          <w:i/>
        </w:rPr>
        <w:t xml:space="preserve">Acceptance of RVC and V1 Descriptions by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1" name="Picture 1"/>
            <wp:cNvGraphicFramePr>
              <a:graphicFrameLocks noChangeAspect="1"/>
            </wp:cNvGraphicFramePr>
            <a:graphic>
              <a:graphicData uri="http://schemas.openxmlformats.org/drawingml/2006/picture">
                <pic:pic>
                  <pic:nvPicPr>
                    <pic:cNvPr id="0" name="fig2_comprehension.png"/>
                    <pic:cNvPicPr/>
                  </pic:nvPicPr>
                  <pic:blipFill>
                    <a:blip r:embed="rId11"/>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full–zero difference in predicted acceptance was large for RVC descriptions in all groups (4-year-olds: 0.89, 95% CrI [0.69, 0.97]; 5-year-olds: 0.94 [0.82, 0.99]; adults: 0.98 [0.90, 1.00]) and smaller for V1 descriptions (0.41 [0.12, 0.77], 0.33 [0.08, 0.69], and 0.04 [0.00, 0.19], respectively). On the probability scale, the difference between these two differences was positive in each group (4-year-olds: 0.46 [0.12, 0.75]; 5-year-olds: 0.60 [0.24, 0.85]; adults: 0.93 [0.77, 0.98]). On the log-odds scale, the Form × Result Realization interaction was probably positive for 5-year-olds (2.70 [−0.36, 5.74], posterior probability of a positive effect, </w:t>
      </w:r>
      <w:r>
        <w:rPr>
          <w:i/>
        </w:rPr>
        <w:t xml:space="preserve">p</w:t>
      </w:r>
      <w:r>
        <w:rPr/>
        <w:t xml:space="preserve">(&gt; 0) = .96) and adults (6.31 [−0.28, 11.83], </w:t>
      </w:r>
      <w:r>
        <w:rPr>
          <w:i/>
        </w:rPr>
        <w:t xml:space="preserve">p</w:t>
      </w:r>
      <w:r>
        <w:rPr/>
        <w:t xml:space="preserve">(&gt; 0) = .97), although both intervals include zero, and uncertain for 4-year-olds (0.53 [−2.90, 3.42], </w:t>
      </w:r>
      <w:r>
        <w:rPr>
          <w:i/>
        </w:rPr>
        <w:t xml:space="preserve">p</w:t>
      </w:r>
      <w:r>
        <w:rPr/>
        <w:t xml:space="preserve">(&gt; 0) = .63). The interaction was smaller in children than in adults (difference in log-odds: −4.69 [−10.65, 2.15], </w:t>
      </w:r>
      <w:r>
        <w:rPr>
          <w:i/>
        </w:rPr>
        <w:t xml:space="preserve">p</w:t>
      </w:r>
      <w:r>
        <w:rPr/>
        <w:t xml:space="preserve">(&lt; 0) = .92), and somewhat larger in 5- than in 4-year-olds (2.20 [−1.73, 6.39], </w:t>
      </w:r>
      <w:r>
        <w:rPr>
          <w:i/>
        </w:rPr>
        <w:t xml:space="preserve">p</w:t>
      </w:r>
      <w:r>
        <w:rPr/>
        <w:t xml:space="preserve">(&gt; 0) = .86); both comparisons have wide intervals.</w:t>
      </w:r>
    </w:p>
    <w:p w14:paraId="3589F7A8" w14:textId="77777777" w:rsidR="009D4CF3" w:rsidRDefault="00000000">
      <w:pPr/>
      <w:r>
        <w:rPr/>
        <w:t xml:space="preserve">The age differences were located mainly in zero-result events. Children accepted V1 descriptions of zero-result events less often than adults (difference in predicted acceptance: 0.33 [0.11, 0.62], </w:t>
      </w:r>
      <w:r>
        <w:rPr>
          <w:i/>
        </w:rPr>
        <w:t xml:space="preserve">p</w:t>
      </w:r>
      <w:r>
        <w:rPr/>
        <w:t xml:space="preserve">(&gt; 0) &gt; .99) and accepted RVC descriptions of these events slightly more often (0.05 [0.01, 0.17], </w:t>
      </w:r>
      <w:r>
        <w:rPr>
          <w:i/>
        </w:rPr>
        <w:t xml:space="preserve">p</w:t>
      </w:r>
      <w:r>
        <w:rPr/>
        <w:t xml:space="preserve">(&gt; 0) &gt; .99). Thus, by 4 years of age, children rejected RVC descriptions of zero-result events in most cases and accepted V1 descriptions of these events more often than RVC descriptions, but less often than adults did.</w:t>
      </w:r>
    </w:p>
    <w:p w14:paraId="3589F7A8" w14:textId="77777777" w:rsidR="009D4CF3" w:rsidRDefault="00000000">
      <w:pPr>
        <w:pStyle w:val="Heading3"/>
      </w:pPr>
      <w:r>
        <w:rPr/>
        <w:t xml:space="preserve">Stronger- and Weaker-Association V1s</w:t>
      </w:r>
    </w:p>
    <w:p w14:paraId="3589F7A8" w14:textId="77777777" w:rsidR="009D4CF3" w:rsidRDefault="00000000">
      <w:pPr/>
      <w:r>
        <w:rPr/>
        <w:t xml:space="preserve">Figure 3 shows acceptance of V1 descriptions by association, result realization, and age group. In full-result events, V1 descriptions were accepted almost always (94%–100%). In zero-result events, descriptions with stronger-association V1s were accepted less often than descriptions with weaker-association V1s in every group (4-year-olds: 31% vs. 78%; 5-year-olds: 41% vs. 75%; adults: 68% vs. 98%).</w:t>
      </w:r>
    </w:p>
    <w:p w14:paraId="3589F7A8" w14:textId="77777777" w:rsidR="009D4CF3" w:rsidRDefault="00000000">
      <w:pPr>
        <w:pStyle w:val="TableNumber"/>
      </w:pPr>
      <w:r>
        <w:rPr/>
        <w:t xml:space="preserve">Figure 3</w:t>
      </w:r>
    </w:p>
    <w:p w14:paraId="3589F7A8" w14:textId="77777777" w:rsidR="009D4CF3" w:rsidRDefault="00000000">
      <w:pPr>
        <w:pStyle w:val="TableTitle"/>
      </w:pPr>
      <w:r>
        <w:rPr>
          <w:i/>
        </w:rPr>
        <w:t xml:space="preserve">Acceptance of V1 Descriptions by Action–Result Association,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2" name="Picture 2"/>
            <wp:cNvGraphicFramePr>
              <a:graphicFrameLocks noChangeAspect="1"/>
            </wp:cNvGraphicFramePr>
            <a:graphic>
              <a:graphicData uri="http://schemas.openxmlformats.org/drawingml/2006/picture">
                <pic:pic>
                  <pic:nvPicPr>
                    <pic:cNvPr id="0" name="fig3_association.png"/>
                    <pic:cNvPicPr/>
                  </pic:nvPicPr>
                  <pic:blipFill>
                    <a:blip r:embed="rId12"/>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association effect in zero-result events was positive in all three groups, with intervals excluding zero for 4-year-olds and adults and only marginally including it for 5-year-olds (difference in log-odds, weaker minus stronger: 4-year-olds: 3.94 [0.46, 7.95], </w:t>
      </w:r>
      <w:r>
        <w:rPr>
          <w:i/>
        </w:rPr>
        <w:t xml:space="preserve">p</w:t>
      </w:r>
      <w:r>
        <w:rPr/>
        <w:t xml:space="preserve">(&gt; 0) = .99; 5-year-olds: 2.87 [−0.49, 6.48], </w:t>
      </w:r>
      <w:r>
        <w:rPr>
          <w:i/>
        </w:rPr>
        <w:t xml:space="preserve">p</w:t>
      </w:r>
      <w:r>
        <w:rPr/>
        <w:t xml:space="preserve">(&gt; 0) = .96; adults: 4.55 [0.69, 9.21], </w:t>
      </w:r>
      <w:r>
        <w:rPr>
          <w:i/>
        </w:rPr>
        <w:t xml:space="preserve">p</w:t>
      </w:r>
      <w:r>
        <w:rPr/>
        <w:t xml:space="preserve">(&gt; 0) = .99; averaged over groups: 3.80 [1.12, 6.84], </w:t>
      </w:r>
      <w:r>
        <w:rPr>
          <w:i/>
        </w:rPr>
        <w:t xml:space="preserve">p</w:t>
      </w:r>
      <w:r>
        <w:rPr/>
        <w:t xml:space="preserve">(&gt; 0) &gt; .99). In full-result events, the association effect was negligible (differences in predicted acceptance ≤ 0.01). The Action–Result Association × Result Realization interaction was positive in all groups but uncertain because acceptance was at ceiling in full-result events (log-odds: 1.49 [−5.39, 8.04], −0.13 [−6.75, 5.75], and 4.46 [−3.54, 12.64]).</w:t>
      </w:r>
    </w:p>
    <w:p w14:paraId="3589F7A8" w14:textId="77777777" w:rsidR="009D4CF3" w:rsidRDefault="00000000">
      <w:pPr/>
      <w:r>
        <w:rPr/>
        <w:t xml:space="preserve">The association effect did not differ credibly between children and adults. On the log-odds scale, the effect was, if anything, smaller in children (difference: −1.13 [−5.57, 2.91], </w:t>
      </w:r>
      <w:r>
        <w:rPr>
          <w:i/>
        </w:rPr>
        <w:t xml:space="preserve">p</w:t>
      </w:r>
      <w:r>
        <w:rPr/>
        <w:t xml:space="preserve">(&gt; 0) = .29); on the probability scale, it was larger in children (0.31 [−0.30, 0.73], </w:t>
      </w:r>
      <w:r>
        <w:rPr>
          <w:i/>
        </w:rPr>
        <w:t xml:space="preserve">p</w:t>
      </w:r>
      <w:r>
        <w:rPr/>
        <w:t xml:space="preserve">(&gt; 0) = .86), because adults’ acceptance of weaker-association V1s was close to ceiling. Both intervals include zero and sizable effects in either direction, so the comparison is inconclusive. The effect also did not differ between 4- and 5-year-olds (−1.05 [−5.23, 2.80]). Children accepted V1 descriptions of zero-result events less often than adults for both stronger-association V1s (difference in predicted acceptance: 0.47 [0.02, 0.82], </w:t>
      </w:r>
      <w:r>
        <w:rPr>
          <w:i/>
        </w:rPr>
        <w:t xml:space="preserve">p</w:t>
      </w:r>
      <w:r>
        <w:rPr/>
        <w:t xml:space="preserve">(&gt; 0) = .98) and weaker-association V1s (0.12 [0.01, 0.55], </w:t>
      </w:r>
      <w:r>
        <w:rPr>
          <w:i/>
        </w:rPr>
        <w:t xml:space="preserve">p</w:t>
      </w:r>
      <w:r>
        <w:rPr/>
        <w:t xml:space="preserve">(&gt; 0) = .99). Children and adults were thus both sensitive to action–result association, and children’s stricter judgments held regardless of association.</w:t>
      </w:r>
    </w:p>
    <w:p w14:paraId="3589F7A8" w14:textId="77777777" w:rsidR="009D4CF3" w:rsidRDefault="00000000">
      <w:pPr>
        <w:pStyle w:val="Heading3"/>
      </w:pPr>
      <w:r>
        <w:rPr/>
        <w:t xml:space="preserve">Sensitivity Analyses and Item-Level Acceptance</w:t>
      </w:r>
    </w:p>
    <w:p w14:paraId="3589F7A8" w14:textId="77777777" w:rsidR="009D4CF3" w:rsidRDefault="00000000">
      <w:pPr/>
      <w:r>
        <w:rPr/>
        <w:t xml:space="preserve">With all 10 pairs, the conclusions were unchanged, except that the Form × Result Realization interaction in 5-year-olds was now clearly positive. The Form × Result Realization interaction on the log-odds scale was 1.05 [−1.47, 3.49] for 4-year-olds (</w:t>
      </w:r>
      <w:r>
        <w:rPr>
          <w:i/>
        </w:rPr>
        <w:t xml:space="preserve">p</w:t>
      </w:r>
      <w:r>
        <w:rPr/>
        <w:t xml:space="preserve">(&gt; 0) = .79), 4.01 [1.62, 6.47] for 5-year-olds (</w:t>
      </w:r>
      <w:r>
        <w:rPr>
          <w:i/>
        </w:rPr>
        <w:t xml:space="preserve">p</w:t>
      </w:r>
      <w:r>
        <w:rPr/>
        <w:t xml:space="preserve">(&gt; 0) &gt; .99), and 4.78 [−1.79, 9.36] for adults (</w:t>
      </w:r>
      <w:r>
        <w:rPr>
          <w:i/>
        </w:rPr>
        <w:t xml:space="preserve">p</w:t>
      </w:r>
      <w:r>
        <w:rPr/>
        <w:t xml:space="preserve">(&gt; 0) = .93). The association effect in zero-result events was 4.05 [1.27, 7.34] for 4-year-olds (</w:t>
      </w:r>
      <w:r>
        <w:rPr>
          <w:i/>
        </w:rPr>
        <w:t xml:space="preserve">p</w:t>
      </w:r>
      <w:r>
        <w:rPr/>
        <w:t xml:space="preserve">(&gt; 0) &gt; .99), 2.71 [−0.08, 5.77] for 5-year-olds (</w:t>
      </w:r>
      <w:r>
        <w:rPr>
          <w:i/>
        </w:rPr>
        <w:t xml:space="preserve">p</w:t>
      </w:r>
      <w:r>
        <w:rPr/>
        <w:t xml:space="preserve">(&gt; 0) = .97), and 4.83 [1.67, 8.67] for adults (</w:t>
      </w:r>
      <w:r>
        <w:rPr>
          <w:i/>
        </w:rPr>
        <w:t xml:space="preserve">p</w:t>
      </w:r>
      <w:r>
        <w:rPr/>
        <w:t xml:space="preserve">(&gt; 0) &gt; .99), and it again did not differ credibly between children and adults (log-odds: −1.41 [−5.26, 1.90]; probability: 0.27 [−0.16, 0.61]).</w:t>
      </w:r>
    </w:p>
    <w:p w14:paraId="3589F7A8" w14:textId="77777777" w:rsidR="009D4CF3" w:rsidRDefault="00000000">
      <w:pPr/>
      <w:r>
        <w:rPr/>
        <w:t xml:space="preserve">When each of the eight retained pairs was left out in turn, the association effect in zero-result events, averaged over age groups, ranged from 3.23 to 4.25 on the log-odds scale, and its 95% CrI excluded zero in every refit (</w:t>
      </w:r>
      <w:r>
        <w:rPr>
          <w:i/>
        </w:rPr>
        <w:t xml:space="preserve">p</w:t>
      </w:r>
      <w:r>
        <w:rPr/>
        <w:t xml:space="preserve">(&gt; 0) ≥ .99). The Action–Result Association × Age Group comparison remained inconclusive in every refit (children minus adults, log-odds: −2.58 to −0.55; probability: 0.19 to 0.36; all intervals including zero). Frequentist models with the full interaction structure produced unstable estimates because of near-ceiling acceptance in full-result events, as anticipated in the Analysis Plan. A frequentist model restricted to V1 descriptions of zero-result events, with random intercepts for participants and items, showed effects of action–result association, χ²(1) = 6.21, </w:t>
      </w:r>
      <w:r>
        <w:rPr>
          <w:i/>
        </w:rPr>
        <w:t xml:space="preserve">p</w:t>
      </w:r>
      <w:r>
        <w:rPr/>
        <w:t xml:space="preserve"> = .013, and age group, χ²(2) = 9.76, </w:t>
      </w:r>
      <w:r>
        <w:rPr>
          <w:i/>
        </w:rPr>
        <w:t xml:space="preserve">p</w:t>
      </w:r>
      <w:r>
        <w:rPr/>
        <w:t xml:space="preserve"> = .008, but no interaction, χ²(2) = 0.68, </w:t>
      </w:r>
      <w:r>
        <w:rPr>
          <w:i/>
        </w:rPr>
        <w:t xml:space="preserve">p</w:t>
      </w:r>
      <w:r>
        <w:rPr/>
        <w:t xml:space="preserve"> = .71. The analysis with the verb–video correspondence covariate has not yet been carried out. </w:t>
      </w:r>
      <w:r>
        <w:rPr>
          <w:highlight w:val="yellow"/>
        </w:rPr>
        <w:t xml:space="preserve">[待逐项数值到位后补做]</w:t>
      </w:r>
    </w:p>
    <w:p w14:paraId="3589F7A8" w14:textId="77777777" w:rsidR="009D4CF3" w:rsidRDefault="00000000">
      <w:pPr/>
      <w:r>
        <w:rPr/>
        <w:t xml:space="preserve">Figure 4 shows acceptance of V1 descriptions in zero-result events for each pair. In seven of the eight pairs, the stronger-association V1 was accepted less often than its weaker-association partner by children, and in six of the eight pairs by adults; the remaining adult pairs were at ceiling for both V1s (Pair 2) or for both groups (Pair 9). The association effect was thus carried by most pairs rather than by one or two. Pair 9 (</w:t>
      </w:r>
      <w:r>
        <w:rPr>
          <w:i/>
        </w:rPr>
        <w:t xml:space="preserve">cā</w:t>
      </w:r>
      <w:r>
        <w:rPr/>
        <w:t xml:space="preserve"> “wipe” vs. </w:t>
      </w:r>
      <w:r>
        <w:rPr>
          <w:i/>
        </w:rPr>
        <w:t xml:space="preserve">chōng</w:t>
      </w:r>
      <w:r>
        <w:rPr/>
        <w:t xml:space="preserve"> “rinse” a mirror) behaved differently from the other pairs: Both V1s were accepted in all zero-result trials, and children also accepted the RVC descriptions of the zero-result videos in 50%–75% of trials. In the videos of this pair, the stain on the mirror was a small red spot in one corner and was not very conspicuous, so participants may not have noticed that it remained in the zero-result videos; one child explained a rejection by saying that only one side of the mirror had been wiped. Acceptance of the RVC descriptions in zero-result events was otherwise low for every pair (children: 0%–38%; adults: 0%).</w:t>
      </w:r>
    </w:p>
    <w:p w14:paraId="3589F7A8" w14:textId="77777777" w:rsidR="009D4CF3" w:rsidRDefault="00000000">
      <w:pPr>
        <w:pStyle w:val="TableNumber"/>
      </w:pPr>
      <w:r>
        <w:rPr/>
        <w:t xml:space="preserve">Figure 4</w:t>
      </w:r>
    </w:p>
    <w:p w14:paraId="3589F7A8" w14:textId="77777777" w:rsidR="009D4CF3" w:rsidRDefault="00000000">
      <w:pPr>
        <w:pStyle w:val="TableTitle"/>
      </w:pPr>
      <w:r>
        <w:rPr>
          <w:i/>
        </w:rPr>
        <w:t xml:space="preserve">Acceptance of V1 Descriptions in Zero-Result Events for Each Pair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fig4_items.png"/>
                    <pic:cNvPicPr/>
                  </pic:nvPicPr>
                  <pic:blipFill>
                    <a:blip r:embed="rId13"/>
                    <a:stretch>
                      <a:fillRect/>
                    </a:stretch>
                  </pic:blipFill>
                  <pic:spPr>
                    <a:xfrm>
                      <a:off x="0" y="0"/>
                      <a:ext cx="5486400" cy="3376246"/>
                    </a:xfrm>
                    <a:prstGeom prst="rect"/>
                  </pic:spPr>
                </pic:pic>
              </a:graphicData>
            </a:graphic>
          </wp:inline>
        </w:drawing>
      </w:r>
    </w:p>
    <w:p w14:paraId="3589F7A8" w14:textId="77777777" w:rsidR="009D4CF3" w:rsidRDefault="00000000">
      <w:pPr>
        <w:pStyle w:val="TableNote"/>
      </w:pPr>
      <w:r>
        <w:rPr>
          <w:i/>
        </w:rPr>
        <w:t xml:space="preserve">Note.</w:t>
      </w:r>
      <w:r>
        <w:rPr/>
        <w:t xml:space="preserve"> Diamonds show proportions for each V1 description. Children are pooled across the two age groups (eight children per V1 description); five adults per V1 description. Pair 9 is discussed in the text.</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w:t>
      </w:r>
      <w:r>
        <w:rPr/>
        <w:t xml:space="preserve">(14 female; 4;0–4;11, </w:t>
      </w:r>
      <w:r>
        <w:rPr>
          <w:i/>
        </w:rPr>
        <w:t xml:space="preserve">M</w:t>
      </w:r>
      <w:r>
        <w:rPr/>
        <w:t xml:space="preserve"> = 4;4)</w:t>
      </w:r>
      <w:r>
        <w:rPr>
          <w:highlight w:val="yellow"/>
        </w:rPr>
      </w:r>
      <w:r>
        <w:t xml:space="preserve">, 32 five-year-olds </w:t>
      </w:r>
      <w:r>
        <w:rPr/>
        <w:t xml:space="preserve">(18 female; 5;0–5;11, </w:t>
      </w:r>
      <w:r>
        <w:rPr>
          <w:i/>
        </w:rPr>
        <w:t xml:space="preserve">M</w:t>
      </w:r>
      <w:r>
        <w:rPr/>
        <w:t xml:space="preserve"> = 5;5)</w:t>
      </w:r>
      <w:r>
        <w:rPr>
          <w:highlight w:val="yellow"/>
        </w:rPr>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r>
        <w:rPr/>
        <w:t xml:space="preserve">Trials without a recorded response are excluded and reported. In the present draft, responses were coded with item-specific lists of V1s, V2s, and equivalent result expressions, together with rules for negation and attempt verbs (e.g., </w:t>
      </w:r>
      <w:r>
        <w:rPr>
          <w:i/>
        </w:rPr>
        <w:t xml:space="preserve">shìtú</w:t>
      </w:r>
      <w:r>
        <w:rPr/>
        <w:t xml:space="preserve"> “try”). </w:t>
      </w:r>
      <w:r>
        <w:rPr>
          <w:highlight w:val="yellow"/>
        </w:rPr>
        <w:t xml:space="preserve">[规则编码初稿：需人工逐条核对，并由第二编码者独立编码 20% 的回答后报告一致性]</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w:t>
      </w:r>
      <w:r>
        <w:rPr>
          <w:highlight w:val="yellow"/>
        </w:rPr>
      </w:r>
      <w:r w:rsidR="00055864">
        <w:rPr>
          <w:rFonts w:eastAsiaTheme="minorEastAsia" w:hint="eastAsia"/>
          <w:highlight w:val="yellow"/>
        </w:rPr>
      </w:r>
      <w:r w:rsidR="00055864">
        <w:rPr>
          <w:rFonts w:ascii="SimSun" w:eastAsia="SimSun" w:hAnsi="SimSun" w:cs="SimSun" w:hint="eastAsia"/>
          <w:highlight w:val="yellow"/>
        </w:rPr>
      </w:r>
      <w:proofErr w:type="spellStart"/>
      <w:r>
        <w:rPr>
          <w:highlight w:val="yellow"/>
        </w:rPr>
      </w:r>
      <w:proofErr w:type="spellEnd"/>
      <w:r>
        <w:rPr>
          <w:highlight w:val="yellow"/>
        </w:rPr>
      </w:r>
      <w:proofErr w:type="spellStart"/>
      <w:r>
        <w:rPr>
          <w:highlight w:val="yellow"/>
        </w:rPr>
      </w:r>
      <w:proofErr w:type="spellEnd"/>
      <w:r>
        <w:rPr>
          <w:highlight w:val="yellow"/>
        </w:rPr>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w:t>
      </w:r>
      <w:r>
        <w:rPr/>
        <w:t xml:space="preserve">descriptively, because several cells contain few responses.</w:t>
      </w:r>
      <w:r>
        <w:rPr>
          <w:highlight w:val="yellow"/>
        </w:rPr>
      </w:r>
      <w:r>
        <w:t xml:space="preserve"> </w:t>
      </w:r>
      <w:r>
        <w:rPr/>
        <w:t xml:space="preserve">Responses that affirm the target result in zero-result events are counted by age group. The two models are also refitted with the eight retained pairs.</w:t>
      </w:r>
      <w:r>
        <w:rPr/>
        <w:t xml:space="preserve"> The adult ratings are not used in these analyses.</w:t>
      </w:r>
    </w:p>
    <w:p w14:paraId="3898C00B" w14:textId="77777777" w:rsidR="009D4CF3" w:rsidRDefault="00000000">
      <w:pPr>
        <w:pStyle w:val="Heading2"/>
      </w:pPr>
      <w:r>
        <w:t>Results</w:t>
      </w:r>
    </w:p>
    <w:p w14:paraId="570C2E60" w14:textId="326EE807" w:rsidR="009D4CF3" w:rsidRDefault="00000000">
      <w:proofErr w:type="spellStart"/>
      <w:proofErr w:type="spellEnd"/>
      <w:r>
        <w:rPr/>
        <w:t xml:space="preserve">Ten child trials (seven from 4-year-olds and three from 5-year-olds) had no recorded response and are excluded, leaving 1,030 responses (4-year-olds: 313; 5-year-olds: 317; adults: 400). Both models converged (R̂ ≤ 1.003, no divergent transitions). Figure 5 shows the proportions of responses that contained an RVC and that mentioned the target result, and Table 2 shows the distribution of response categories.</w:t>
      </w:r>
    </w:p>
    <w:p w14:paraId="570C2E60" w14:textId="326EE807" w:rsidR="009D4CF3" w:rsidRDefault="00000000">
      <w:pPr>
        <w:pStyle w:val="TableNumber"/>
      </w:pPr>
      <w:r>
        <w:rPr/>
        <w:t xml:space="preserve">Figure 5</w:t>
      </w:r>
    </w:p>
    <w:p w14:paraId="570C2E60" w14:textId="326EE807" w:rsidR="009D4CF3" w:rsidRDefault="00000000">
      <w:pPr>
        <w:pStyle w:val="TableTitle"/>
      </w:pPr>
      <w:r>
        <w:rPr>
          <w:i/>
        </w:rPr>
        <w:t xml:space="preserve">Proportion of Responses Containing an RVC and of Responses Mentioning the Target Result (Experiment 2)</w:t>
      </w:r>
    </w:p>
    <w:p w14:paraId="570C2E60" w14:textId="326EE807" w:rsidR="009D4CF3" w:rsidRDefault="00000000">
      <w:pPr>
        <w:keepNext/>
        <w:ind w:firstLine="0"/>
        <w:jc w:val="center"/>
      </w:pPr>
      <w:r>
        <w:drawing>
          <wp:inline xmlns:a="http://schemas.openxmlformats.org/drawingml/2006/main" xmlns:pic="http://schemas.openxmlformats.org/drawingml/2006/picture">
            <wp:extent cx="5486400" cy="6752492"/>
            <wp:docPr id="5" name="Picture 5"/>
            <wp:cNvGraphicFramePr>
              <a:graphicFrameLocks noChangeAspect="1"/>
            </wp:cNvGraphicFramePr>
            <a:graphic>
              <a:graphicData uri="http://schemas.openxmlformats.org/drawingml/2006/picture">
                <pic:pic>
                  <pic:nvPicPr>
                    <pic:cNvPr id="0" name="fig5_production.png"/>
                    <pic:cNvPicPr/>
                  </pic:nvPicPr>
                  <pic:blipFill>
                    <a:blip r:embed="rId15"/>
                    <a:stretch>
                      <a:fillRect/>
                    </a:stretch>
                  </pic:blipFill>
                  <pic:spPr>
                    <a:xfrm>
                      <a:off x="0" y="0"/>
                      <a:ext cx="5486400" cy="6752492"/>
                    </a:xfrm>
                    <a:prstGeom prst="rect"/>
                  </pic:spPr>
                </pic:pic>
              </a:graphicData>
            </a:graphic>
          </wp:inline>
        </w:drawing>
      </w:r>
    </w:p>
    <w:p w14:paraId="570C2E60" w14:textId="326EE807" w:rsidR="009D4CF3" w:rsidRDefault="00000000">
      <w:pPr>
        <w:pStyle w:val="TableNote"/>
      </w:pPr>
      <w:r>
        <w:rPr>
          <w:i/>
        </w:rPr>
        <w:t xml:space="preserve">Note.</w:t>
      </w:r>
      <w:r>
        <w:rPr/>
        <w:t xml:space="preserve"> All 10 pairs. Small points show proportions for individual participants, and diamonds show group means.</w:t>
      </w:r>
    </w:p>
    <w:p w14:paraId="570C2E60" w14:textId="326EE807" w:rsidR="009D4CF3" w:rsidRDefault="00000000">
      <w:pPr>
        <w:pStyle w:val="Heading3"/>
      </w:pPr>
      <w:r>
        <w:rPr/>
        <w:t xml:space="preserve">RVC Use</w:t>
      </w:r>
    </w:p>
    <w:p w14:paraId="570C2E60" w14:textId="326EE807" w:rsidR="009D4CF3" w:rsidRDefault="00000000">
      <w:pPr/>
      <w:r>
        <w:rPr/>
        <w:t xml:space="preserve">Responses contained an RVC more often for full-result than for zero-result events in all groups (4-year-olds: 15% vs. 9%; 5-year-olds: 29% vs. 10%; adults: 56% vs. 29%). In the model, this difference was credible for 5-year-olds (log-odds: 1.92, 95% CrI [0.82, 3.13], </w:t>
      </w:r>
      <w:r>
        <w:rPr>
          <w:i/>
        </w:rPr>
        <w:t xml:space="preserve">p</w:t>
      </w:r>
      <w:r>
        <w:rPr/>
        <w:t xml:space="preserve">(&gt; 0) &gt; .99) and adults (1.87 [0.97, 2.84], </w:t>
      </w:r>
      <w:r>
        <w:rPr>
          <w:i/>
        </w:rPr>
        <w:t xml:space="preserve">p</w:t>
      </w:r>
      <w:r>
        <w:rPr/>
        <w:t xml:space="preserve">(&gt; 0) &gt; .99) but uncertain for 4-year-olds (0.81 [−0.37, 2.01], </w:t>
      </w:r>
      <w:r>
        <w:rPr>
          <w:i/>
        </w:rPr>
        <w:t xml:space="preserve">p</w:t>
      </w:r>
      <w:r>
        <w:rPr/>
        <w:t xml:space="preserve">(&gt; 0) = .92), who produced few RVCs in either condition. On the log-odds scale, the effect of result realization did not differ credibly between children and adults (−0.50 [−1.57, 0.54]). Adults produced RVCs more often than children (difference in predicted proportion, averaged over result conditions: 0.30 [0.15, 0.46]), and 5-year-olds slightly more often than 4-year-olds (0.06 [0.00, 0.17]). RVCs in zero-result events usually appeared in negated or potential forms (e.g., </w:t>
      </w:r>
      <w:r>
        <w:rPr>
          <w:i/>
        </w:rPr>
        <w:t xml:space="preserve">méi zá-kāi</w:t>
      </w:r>
      <w:r>
        <w:rPr/>
        <w:t xml:space="preserve"> “did not smash open”; </w:t>
      </w:r>
      <w:r>
        <w:rPr>
          <w:i/>
        </w:rPr>
        <w:t xml:space="preserve">qiāo bù kāi</w:t>
      </w:r>
      <w:r>
        <w:rPr/>
        <w:t xml:space="preserve"> “knock-cannot-open”) or, in adults, as the object of an attempt verb (e.g., </w:t>
      </w:r>
      <w:r>
        <w:rPr>
          <w:i/>
        </w:rPr>
        <w:t xml:space="preserve">shìtú sī-kāi</w:t>
      </w:r>
      <w:r>
        <w:rPr/>
        <w:t xml:space="preserve"> “tried to tear open”).</w:t>
      </w:r>
    </w:p>
    <w:p w14:paraId="570C2E60" w14:textId="326EE807" w:rsidR="009D4CF3" w:rsidRDefault="00000000">
      <w:pPr>
        <w:pStyle w:val="Heading3"/>
      </w:pPr>
      <w:r>
        <w:rPr/>
        <w:t xml:space="preserve">Mention of the Target Result</w:t>
      </w:r>
    </w:p>
    <w:p w14:paraId="570C2E60" w14:textId="326EE807" w:rsidR="009D4CF3" w:rsidRDefault="00000000">
      <w:pPr/>
      <w:r>
        <w:rPr/>
        <w:t xml:space="preserve">The target result was mentioned more often for full-result than for zero-result events in all groups (4-year-olds: 29% vs. 12%; 5-year-olds: 40% vs. 11%; adults: 67% vs. 28%). The difference was credible in each group (log-odds: 1.43 [0.28, 2.67], </w:t>
      </w:r>
      <w:r>
        <w:rPr>
          <w:i/>
        </w:rPr>
        <w:t xml:space="preserve">p</w:t>
      </w:r>
      <w:r>
        <w:rPr/>
        <w:t xml:space="preserve">(&gt; 0) = .99; 2.32 [1.20, 3.59], </w:t>
      </w:r>
      <w:r>
        <w:rPr>
          <w:i/>
        </w:rPr>
        <w:t xml:space="preserve">p</w:t>
      </w:r>
      <w:r>
        <w:rPr/>
        <w:t xml:space="preserve">(&gt; 0) &gt; .99; and 2.74 [1.65, 3.87], </w:t>
      </w:r>
      <w:r>
        <w:rPr>
          <w:i/>
        </w:rPr>
        <w:t xml:space="preserve">p</w:t>
      </w:r>
      <w:r>
        <w:rPr/>
        <w:t xml:space="preserve">(&gt; 0) &gt; .99, respectively), and it tended to be smaller in children than in adults (−0.84 [−1.75, 0.03]). Adults mentioned the target result more often than children (0.27 [0.15, 0.39]). In zero-result events, adults who mentioned the target result usually denied it (20% of zero-result responses) or presented it as the actor’s goal (7%); children denied it in 8% of zero-result responses. Responses affirming the target result in a zero-result event were rare (4-year-olds: 5 responses, 3%; 5-year-olds: 6, 4%; adults: 2, 1%).</w:t>
      </w:r>
    </w:p>
    <w:p w14:paraId="570C2E60" w14:textId="326EE807" w:rsidR="009D4CF3" w:rsidRDefault="00000000">
      <w:pPr>
        <w:pStyle w:val="Heading3"/>
      </w:pPr>
      <w:r>
        <w:rPr/>
        <w:t xml:space="preserve">Response Categories</w:t>
      </w:r>
    </w:p>
    <w:p w14:paraId="570C2E60" w14:textId="326EE807" w:rsidR="009D4CF3" w:rsidRDefault="00000000">
      <w:pPr/>
      <w:r>
        <w:rPr/>
        <w:t xml:space="preserve">Among responses without an RVC (Table 2), action-only responses predominated in all groups and in both result conditions (67%–90%). In full-result events, children’s descriptions more often named the action alone than adults’ (all responses: 62% and 53% vs. 31%), whereas responses expressing the action and the target result in separate predicates (e.g., </w:t>
      </w:r>
      <w:r>
        <w:rPr>
          <w:i/>
        </w:rPr>
        <w:t xml:space="preserve">huīwǔ-le jǐ xià, làzhú miè le</w:t>
      </w:r>
      <w:r>
        <w:rPr/>
        <w:t xml:space="preserve"> “waved it a few times, and the candle went out”) made up 13%–14% of children’s and 26% of adults’ responses without an RVC. Responses mentioning only the target result were rare (0%–6%). Thus, children did not express the target result in separate predicates or without the action more often than adults; their lower RVC use went together with less frequent mention of the result. In zero-result events, separate-predicate and result-only responses were rare in all groups (≤ 5% of responses without an RVC). Because several cells contain few responses, these proportions are reported descriptively.</w:t>
      </w:r>
    </w:p>
    <w:p w14:paraId="570C2E60" w14:textId="326EE807" w:rsidR="009D4CF3" w:rsidRDefault="00000000">
      <w:pPr>
        <w:pStyle w:val="TableNumber"/>
      </w:pPr>
      <w:r>
        <w:rPr/>
        <w:t xml:space="preserve">Table 2</w:t>
      </w:r>
    </w:p>
    <w:p w14:paraId="570C2E60" w14:textId="326EE807" w:rsidR="009D4CF3" w:rsidRDefault="00000000">
      <w:pPr>
        <w:pStyle w:val="TableTitle"/>
      </w:pPr>
      <w:r>
        <w:rPr>
          <w:i/>
        </w:rPr>
        <w:t xml:space="preserve">Response Categories by Result Realization and Age Group in Experiment 2 (Percentages of Responses)</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Borders>
              <w:bottom w:val="single" w:sz="4" w:space="0" w:color="000000"/>
            </w:tcBorders>
          </w:tcPr>
          <w:p>
            <w:pPr>
              <w:pStyle w:val="TableText"/>
            </w:pPr>
            <w:r/>
            <w:r>
              <w:rPr/>
              <w:t xml:space="preserve">Age group</w:t>
            </w:r>
          </w:p>
        </w:tc>
        <w:tc>
          <w:tcPr>
            <w:tcW w:type="dxa" w:w="1170"/>
            <w:tcBorders>
              <w:bottom w:val="single" w:sz="4" w:space="0" w:color="000000"/>
            </w:tcBorders>
          </w:tcPr>
          <w:p>
            <w:pPr>
              <w:pStyle w:val="TableText"/>
            </w:pPr>
            <w:r/>
            <w:r>
              <w:rPr/>
              <w:t xml:space="preserve">Result</w:t>
            </w:r>
          </w:p>
        </w:tc>
        <w:tc>
          <w:tcPr>
            <w:tcW w:type="dxa" w:w="1170"/>
            <w:tcBorders>
              <w:bottom w:val="single" w:sz="4" w:space="0" w:color="000000"/>
            </w:tcBorders>
          </w:tcPr>
          <w:p>
            <w:pPr>
              <w:pStyle w:val="TableText"/>
              <w:jc w:val="center"/>
            </w:pPr>
            <w:r/>
            <w:r>
              <w:rPr>
                <w:i/>
              </w:rPr>
              <w:t xml:space="preserve">n</w:t>
            </w:r>
          </w:p>
        </w:tc>
        <w:tc>
          <w:tcPr>
            <w:tcW w:type="dxa" w:w="1170"/>
            <w:tcBorders>
              <w:bottom w:val="single" w:sz="4" w:space="0" w:color="000000"/>
            </w:tcBorders>
          </w:tcPr>
          <w:p>
            <w:pPr>
              <w:pStyle w:val="TableText"/>
              <w:jc w:val="center"/>
            </w:pPr>
            <w:r/>
            <w:r>
              <w:rPr/>
              <w:t xml:space="preserve">RVC</w:t>
            </w:r>
          </w:p>
        </w:tc>
        <w:tc>
          <w:tcPr>
            <w:tcW w:type="dxa" w:w="1170"/>
            <w:tcBorders>
              <w:bottom w:val="single" w:sz="4" w:space="0" w:color="000000"/>
            </w:tcBorders>
          </w:tcPr>
          <w:p>
            <w:pPr>
              <w:pStyle w:val="TableText"/>
              <w:jc w:val="center"/>
            </w:pPr>
            <w:r/>
            <w:r>
              <w:rPr/>
              <w:t xml:space="preserve">Separate predicates</w:t>
            </w:r>
          </w:p>
        </w:tc>
        <w:tc>
          <w:tcPr>
            <w:tcW w:type="dxa" w:w="1170"/>
            <w:tcBorders>
              <w:bottom w:val="single" w:sz="4" w:space="0" w:color="000000"/>
            </w:tcBorders>
          </w:tcPr>
          <w:p>
            <w:pPr>
              <w:pStyle w:val="TableText"/>
              <w:jc w:val="center"/>
            </w:pPr>
            <w:r/>
            <w:r>
              <w:rPr/>
              <w:t xml:space="preserve">Result only</w:t>
            </w:r>
          </w:p>
        </w:tc>
        <w:tc>
          <w:tcPr>
            <w:tcW w:type="dxa" w:w="1170"/>
            <w:tcBorders>
              <w:bottom w:val="single" w:sz="4" w:space="0" w:color="000000"/>
            </w:tcBorders>
          </w:tcPr>
          <w:p>
            <w:pPr>
              <w:pStyle w:val="TableText"/>
              <w:jc w:val="center"/>
            </w:pPr>
            <w:r/>
            <w:r>
              <w:rPr/>
              <w:t xml:space="preserve">Action only</w:t>
            </w:r>
          </w:p>
        </w:tc>
        <w:tc>
          <w:tcPr>
            <w:tcW w:type="dxa" w:w="1170"/>
            <w:tcBorders>
              <w:bottom w:val="single" w:sz="4" w:space="0" w:color="000000"/>
            </w:tcBorders>
          </w:tcPr>
          <w:p>
            <w:pPr>
              <w:pStyle w:val="TableText"/>
              <w:jc w:val="center"/>
            </w:pPr>
            <w:r/>
            <w:r>
              <w:rPr/>
              <w:t xml:space="preserve">Neither</w:t>
            </w:r>
          </w:p>
        </w:tc>
      </w:tr>
      <w:tr>
        <w:tc>
          <w:tcPr>
            <w:tcW w:type="dxa" w:w="1170"/>
          </w:tcPr>
          <w:p>
            <w:pPr>
              <w:pStyle w:val="TableText"/>
            </w:pPr>
            <w:r/>
            <w:r>
              <w:rPr/>
              <w:t xml:space="preserve">4-year-olds</w:t>
            </w:r>
          </w:p>
        </w:tc>
        <w:tc>
          <w:tcPr>
            <w:tcW w:type="dxa" w:w="1170"/>
          </w:tcPr>
          <w:p>
            <w:pPr>
              <w:pStyle w:val="TableText"/>
            </w:pPr>
            <w:r/>
            <w:r>
              <w:rPr/>
              <w:t xml:space="preserve">Full</w:t>
            </w:r>
          </w:p>
        </w:tc>
        <w:tc>
          <w:tcPr>
            <w:tcW w:type="dxa" w:w="1170"/>
          </w:tcPr>
          <w:p>
            <w:pPr>
              <w:pStyle w:val="TableText"/>
              <w:jc w:val="center"/>
            </w:pPr>
            <w:r/>
            <w:r>
              <w:rPr/>
              <w:t xml:space="preserve">157</w:t>
            </w:r>
          </w:p>
        </w:tc>
        <w:tc>
          <w:tcPr>
            <w:tcW w:type="dxa" w:w="1170"/>
          </w:tcPr>
          <w:p>
            <w:pPr>
              <w:pStyle w:val="TableText"/>
              <w:jc w:val="center"/>
            </w:pPr>
            <w:r/>
            <w:r>
              <w:rPr/>
              <w:t xml:space="preserve">13</w:t>
            </w:r>
          </w:p>
        </w:tc>
        <w:tc>
          <w:tcPr>
            <w:tcW w:type="dxa" w:w="1170"/>
          </w:tcPr>
          <w:p>
            <w:pPr>
              <w:pStyle w:val="TableText"/>
              <w:jc w:val="center"/>
            </w:pPr>
            <w:r/>
            <w:r>
              <w:rPr/>
              <w:t xml:space="preserve">11</w:t>
            </w:r>
          </w:p>
        </w:tc>
        <w:tc>
          <w:tcPr>
            <w:tcW w:type="dxa" w:w="1170"/>
          </w:tcPr>
          <w:p>
            <w:pPr>
              <w:pStyle w:val="TableText"/>
              <w:jc w:val="center"/>
            </w:pPr>
            <w:r/>
            <w:r>
              <w:rPr/>
              <w:t xml:space="preserve">5</w:t>
            </w:r>
          </w:p>
        </w:tc>
        <w:tc>
          <w:tcPr>
            <w:tcW w:type="dxa" w:w="1170"/>
          </w:tcPr>
          <w:p>
            <w:pPr>
              <w:pStyle w:val="TableText"/>
              <w:jc w:val="center"/>
            </w:pPr>
            <w:r/>
            <w:r>
              <w:rPr/>
              <w:t xml:space="preserve">62</w:t>
            </w:r>
          </w:p>
        </w:tc>
        <w:tc>
          <w:tcPr>
            <w:tcW w:type="dxa" w:w="1170"/>
          </w:tcPr>
          <w:p>
            <w:pPr>
              <w:pStyle w:val="TableText"/>
              <w:jc w:val="center"/>
            </w:pPr>
            <w:r/>
            <w:r>
              <w:rPr/>
              <w:t xml:space="preserve">8</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156</w:t>
            </w:r>
          </w:p>
        </w:tc>
        <w:tc>
          <w:tcPr>
            <w:tcW w:type="dxa" w:w="1170"/>
          </w:tcPr>
          <w:p>
            <w:pPr>
              <w:pStyle w:val="TableText"/>
              <w:jc w:val="center"/>
            </w:pPr>
            <w:r/>
            <w:r>
              <w:rPr/>
              <w:t xml:space="preserve">7</w:t>
            </w:r>
          </w:p>
        </w:tc>
        <w:tc>
          <w:tcPr>
            <w:tcW w:type="dxa" w:w="1170"/>
          </w:tcPr>
          <w:p>
            <w:pPr>
              <w:pStyle w:val="TableText"/>
              <w:jc w:val="center"/>
            </w:pPr>
            <w:r/>
            <w:r>
              <w:rPr/>
              <w:t xml:space="preserve">1</w:t>
            </w:r>
          </w:p>
        </w:tc>
        <w:tc>
          <w:tcPr>
            <w:tcW w:type="dxa" w:w="1170"/>
          </w:tcPr>
          <w:p>
            <w:pPr>
              <w:pStyle w:val="TableText"/>
              <w:jc w:val="center"/>
            </w:pPr>
            <w:r/>
            <w:r>
              <w:rPr/>
              <w:t xml:space="preserve">4</w:t>
            </w:r>
          </w:p>
        </w:tc>
        <w:tc>
          <w:tcPr>
            <w:tcW w:type="dxa" w:w="1170"/>
          </w:tcPr>
          <w:p>
            <w:pPr>
              <w:pStyle w:val="TableText"/>
              <w:jc w:val="center"/>
            </w:pPr>
            <w:r/>
            <w:r>
              <w:rPr/>
              <w:t xml:space="preserve">78</w:t>
            </w:r>
          </w:p>
        </w:tc>
        <w:tc>
          <w:tcPr>
            <w:tcW w:type="dxa" w:w="1170"/>
          </w:tcPr>
          <w:p>
            <w:pPr>
              <w:pStyle w:val="TableText"/>
              <w:jc w:val="center"/>
            </w:pPr>
            <w:r/>
            <w:r>
              <w:rPr/>
              <w:t xml:space="preserve">11</w:t>
            </w:r>
          </w:p>
        </w:tc>
      </w:tr>
      <w:tr>
        <w:tc>
          <w:tcPr>
            <w:tcW w:type="dxa" w:w="1170"/>
          </w:tcPr>
          <w:p>
            <w:pPr>
              <w:pStyle w:val="TableText"/>
            </w:pPr>
            <w:r/>
            <w:r>
              <w:rPr/>
              <w:t xml:space="preserve">5-year-olds</w:t>
            </w:r>
          </w:p>
        </w:tc>
        <w:tc>
          <w:tcPr>
            <w:tcW w:type="dxa" w:w="1170"/>
          </w:tcPr>
          <w:p>
            <w:pPr>
              <w:pStyle w:val="TableText"/>
            </w:pPr>
            <w:r/>
            <w:r>
              <w:rPr/>
              <w:t xml:space="preserve">Full</w:t>
            </w:r>
          </w:p>
        </w:tc>
        <w:tc>
          <w:tcPr>
            <w:tcW w:type="dxa" w:w="1170"/>
          </w:tcPr>
          <w:p>
            <w:pPr>
              <w:pStyle w:val="TableText"/>
              <w:jc w:val="center"/>
            </w:pPr>
            <w:r/>
            <w:r>
              <w:rPr/>
              <w:t xml:space="preserve">159</w:t>
            </w:r>
          </w:p>
        </w:tc>
        <w:tc>
          <w:tcPr>
            <w:tcW w:type="dxa" w:w="1170"/>
          </w:tcPr>
          <w:p>
            <w:pPr>
              <w:pStyle w:val="TableText"/>
              <w:jc w:val="center"/>
            </w:pPr>
            <w:r/>
            <w:r>
              <w:rPr/>
              <w:t xml:space="preserve">26</w:t>
            </w:r>
          </w:p>
        </w:tc>
        <w:tc>
          <w:tcPr>
            <w:tcW w:type="dxa" w:w="1170"/>
          </w:tcPr>
          <w:p>
            <w:pPr>
              <w:pStyle w:val="TableText"/>
              <w:jc w:val="center"/>
            </w:pPr>
            <w:r/>
            <w:r>
              <w:rPr/>
              <w:t xml:space="preserve">10</w:t>
            </w:r>
          </w:p>
        </w:tc>
        <w:tc>
          <w:tcPr>
            <w:tcW w:type="dxa" w:w="1170"/>
          </w:tcPr>
          <w:p>
            <w:pPr>
              <w:pStyle w:val="TableText"/>
              <w:jc w:val="center"/>
            </w:pPr>
            <w:r/>
            <w:r>
              <w:rPr/>
              <w:t xml:space="preserve">4</w:t>
            </w:r>
          </w:p>
        </w:tc>
        <w:tc>
          <w:tcPr>
            <w:tcW w:type="dxa" w:w="1170"/>
          </w:tcPr>
          <w:p>
            <w:pPr>
              <w:pStyle w:val="TableText"/>
              <w:jc w:val="center"/>
            </w:pPr>
            <w:r/>
            <w:r>
              <w:rPr/>
              <w:t xml:space="preserve">53</w:t>
            </w:r>
          </w:p>
        </w:tc>
        <w:tc>
          <w:tcPr>
            <w:tcW w:type="dxa" w:w="1170"/>
          </w:tcPr>
          <w:p>
            <w:pPr>
              <w:pStyle w:val="TableText"/>
              <w:jc w:val="center"/>
            </w:pPr>
            <w:r/>
            <w:r>
              <w:rPr/>
              <w:t xml:space="preserve">7</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158</w:t>
            </w:r>
          </w:p>
        </w:tc>
        <w:tc>
          <w:tcPr>
            <w:tcW w:type="dxa" w:w="1170"/>
          </w:tcPr>
          <w:p>
            <w:pPr>
              <w:pStyle w:val="TableText"/>
              <w:jc w:val="center"/>
            </w:pPr>
            <w:r/>
            <w:r>
              <w:rPr/>
              <w:t xml:space="preserve">7</w:t>
            </w:r>
          </w:p>
        </w:tc>
        <w:tc>
          <w:tcPr>
            <w:tcW w:type="dxa" w:w="1170"/>
          </w:tcPr>
          <w:p>
            <w:pPr>
              <w:pStyle w:val="TableText"/>
              <w:jc w:val="center"/>
            </w:pPr>
            <w:r/>
            <w:r>
              <w:rPr/>
              <w:t xml:space="preserve">2</w:t>
            </w:r>
          </w:p>
        </w:tc>
        <w:tc>
          <w:tcPr>
            <w:tcW w:type="dxa" w:w="1170"/>
          </w:tcPr>
          <w:p>
            <w:pPr>
              <w:pStyle w:val="TableText"/>
              <w:jc w:val="center"/>
            </w:pPr>
            <w:r/>
            <w:r>
              <w:rPr/>
              <w:t xml:space="preserve">3</w:t>
            </w:r>
          </w:p>
        </w:tc>
        <w:tc>
          <w:tcPr>
            <w:tcW w:type="dxa" w:w="1170"/>
          </w:tcPr>
          <w:p>
            <w:pPr>
              <w:pStyle w:val="TableText"/>
              <w:jc w:val="center"/>
            </w:pPr>
            <w:r/>
            <w:r>
              <w:rPr/>
              <w:t xml:space="preserve">80</w:t>
            </w:r>
          </w:p>
        </w:tc>
        <w:tc>
          <w:tcPr>
            <w:tcW w:type="dxa" w:w="1170"/>
          </w:tcPr>
          <w:p>
            <w:pPr>
              <w:pStyle w:val="TableText"/>
              <w:jc w:val="center"/>
            </w:pPr>
            <w:r/>
            <w:r>
              <w:rPr/>
              <w:t xml:space="preserve">8</w:t>
            </w:r>
          </w:p>
        </w:tc>
      </w:tr>
      <w:tr>
        <w:tc>
          <w:tcPr>
            <w:tcW w:type="dxa" w:w="1170"/>
          </w:tcPr>
          <w:p>
            <w:pPr>
              <w:pStyle w:val="TableText"/>
            </w:pPr>
            <w:r/>
            <w:r>
              <w:rPr/>
              <w:t xml:space="preserve">Adults</w:t>
            </w:r>
          </w:p>
        </w:tc>
        <w:tc>
          <w:tcPr>
            <w:tcW w:type="dxa" w:w="1170"/>
          </w:tcPr>
          <w:p>
            <w:pPr>
              <w:pStyle w:val="TableText"/>
            </w:pPr>
            <w:r/>
            <w:r>
              <w:rPr/>
              <w:t xml:space="preserve">Full</w:t>
            </w:r>
          </w:p>
        </w:tc>
        <w:tc>
          <w:tcPr>
            <w:tcW w:type="dxa" w:w="1170"/>
          </w:tcPr>
          <w:p>
            <w:pPr>
              <w:pStyle w:val="TableText"/>
              <w:jc w:val="center"/>
            </w:pPr>
            <w:r/>
            <w:r>
              <w:rPr/>
              <w:t xml:space="preserve">200</w:t>
            </w:r>
          </w:p>
        </w:tc>
        <w:tc>
          <w:tcPr>
            <w:tcW w:type="dxa" w:w="1170"/>
          </w:tcPr>
          <w:p>
            <w:pPr>
              <w:pStyle w:val="TableText"/>
              <w:jc w:val="center"/>
            </w:pPr>
            <w:r/>
            <w:r>
              <w:rPr/>
              <w:t xml:space="preserve">54</w:t>
            </w:r>
          </w:p>
        </w:tc>
        <w:tc>
          <w:tcPr>
            <w:tcW w:type="dxa" w:w="1170"/>
          </w:tcPr>
          <w:p>
            <w:pPr>
              <w:pStyle w:val="TableText"/>
              <w:jc w:val="center"/>
            </w:pPr>
            <w:r/>
            <w:r>
              <w:rPr/>
              <w:t xml:space="preserve">12</w:t>
            </w:r>
          </w:p>
        </w:tc>
        <w:tc>
          <w:tcPr>
            <w:tcW w:type="dxa" w:w="1170"/>
          </w:tcPr>
          <w:p>
            <w:pPr>
              <w:pStyle w:val="TableText"/>
              <w:jc w:val="center"/>
            </w:pPr>
            <w:r/>
            <w:r>
              <w:rPr/>
              <w:t xml:space="preserve">2</w:t>
            </w:r>
          </w:p>
        </w:tc>
        <w:tc>
          <w:tcPr>
            <w:tcW w:type="dxa" w:w="1170"/>
          </w:tcPr>
          <w:p>
            <w:pPr>
              <w:pStyle w:val="TableText"/>
              <w:jc w:val="center"/>
            </w:pPr>
            <w:r/>
            <w:r>
              <w:rPr/>
              <w:t xml:space="preserve">31</w:t>
            </w:r>
          </w:p>
        </w:tc>
        <w:tc>
          <w:tcPr>
            <w:tcW w:type="dxa" w:w="1170"/>
          </w:tcPr>
          <w:p>
            <w:pPr>
              <w:pStyle w:val="TableText"/>
              <w:jc w:val="center"/>
            </w:pPr>
            <w:r/>
            <w:r>
              <w:rPr/>
              <w:t xml:space="preserve">2</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200</w:t>
            </w:r>
          </w:p>
        </w:tc>
        <w:tc>
          <w:tcPr>
            <w:tcW w:type="dxa" w:w="1170"/>
          </w:tcPr>
          <w:p>
            <w:pPr>
              <w:pStyle w:val="TableText"/>
              <w:jc w:val="center"/>
            </w:pPr>
            <w:r/>
            <w:r>
              <w:rPr/>
              <w:t xml:space="preserve">26</w:t>
            </w:r>
          </w:p>
        </w:tc>
        <w:tc>
          <w:tcPr>
            <w:tcW w:type="dxa" w:w="1170"/>
          </w:tcPr>
          <w:p>
            <w:pPr>
              <w:pStyle w:val="TableText"/>
              <w:jc w:val="center"/>
            </w:pPr>
            <w:r/>
            <w:r>
              <w:rPr/>
              <w:t xml:space="preserve">2</w:t>
            </w:r>
          </w:p>
        </w:tc>
        <w:tc>
          <w:tcPr>
            <w:tcW w:type="dxa" w:w="1170"/>
          </w:tcPr>
          <w:p>
            <w:pPr>
              <w:pStyle w:val="TableText"/>
              <w:jc w:val="center"/>
            </w:pPr>
            <w:r/>
            <w:r>
              <w:rPr/>
              <w:t xml:space="preserve">0</w:t>
            </w:r>
          </w:p>
        </w:tc>
        <w:tc>
          <w:tcPr>
            <w:tcW w:type="dxa" w:w="1170"/>
          </w:tcPr>
          <w:p>
            <w:pPr>
              <w:pStyle w:val="TableText"/>
              <w:jc w:val="center"/>
            </w:pPr>
            <w:r/>
            <w:r>
              <w:rPr/>
              <w:t xml:space="preserve">67</w:t>
            </w:r>
          </w:p>
        </w:tc>
        <w:tc>
          <w:tcPr>
            <w:tcW w:type="dxa" w:w="1170"/>
          </w:tcPr>
          <w:p>
            <w:pPr>
              <w:pStyle w:val="TableText"/>
              <w:jc w:val="center"/>
            </w:pPr>
            <w:r/>
            <w:r>
              <w:rPr/>
              <w:t xml:space="preserve">5</w:t>
            </w:r>
          </w:p>
        </w:tc>
      </w:tr>
    </w:tbl>
    <w:p w14:paraId="461146B5" w14:textId="764D5272" w:rsidR="009D4CF3" w:rsidRPr="0055050F" w:rsidRDefault="00000000">
      <w:pPr>
        <w:pStyle w:val="TableNote"/>
        <w:rPr>
          <w:rFonts w:eastAsiaTheme="minorEastAsia"/>
        </w:rPr>
      </w:pPr>
      <w:r>
        <w:rPr>
          <w:i/>
        </w:rPr>
        <w:t xml:space="preserve">Note.</w:t>
      </w:r>
      <w:r>
        <w:rPr/>
        <w:t xml:space="preserve"> RVC = action and target result expressed in an RVC, affirmed or negated. Responses containing an RVC that did not express the target result (e.g., an RVC with a different result) are classified by the remaining information; therefore, the RVC column can be lower than the proportion of responses containing an RVC reported in the text. All 10 pairs are included.</w:t>
      </w:r>
    </w:p>
    <w:p w14:paraId="461146B5" w14:textId="764D5272" w:rsidR="009D4CF3" w:rsidRPr="0055050F" w:rsidRDefault="00000000">
      <w:pPr/>
      <w:r>
        <w:rPr/>
        <w:t xml:space="preserve">Restricting the analyses to the eight retained pairs did not change these patterns (RVC use, full minus zero, log-odds: 4-year-olds: 0.62 [−0.61, 1.90]; 5-year-olds: 1.81 [0.66, 3.06]; adults: 2.01 [1.00, 3.08]). Descriptively, in zero-result events RVCs were produced somewhat more often for stronger- than for weaker-association actions (4-year-olds: 12% vs. 6%; 5-year-olds: 12% vs. 6%; adults: 33% vs. 25%), mostly in negated or attempt constructions; this comparison was not planned and is not modeled. </w:t>
      </w:r>
      <w:r>
        <w:rPr>
          <w:highlight w:val="yellow"/>
        </w:rPr>
        <w:t xml:space="preserve">[产出编码为依据逐项关键词表的规则编码初稿，待人工核对和第二编码者编码后更新以上数值]</w:t>
      </w:r>
    </w:p>
    <w:p w14:paraId="095C048D" w14:textId="77777777" w:rsidR="009D4CF3" w:rsidRDefault="00000000">
      <w:pPr>
        <w:pStyle w:val="Heading1"/>
      </w:pPr>
      <w:r>
        <w:t>General Discussion</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2A274960" w14:textId="262DD448" w:rsidR="009D4CF3" w:rsidRDefault="00000000">
      <w:proofErr w:type="spellStart"/>
      <w:proofErr w:type="spellEnd"/>
      <w:r w:rsidRPr="00055864">
        <w:rPr/>
        <w:t xml:space="preserve">Three main findings emerged. First, 4-year-olds, 5-year-olds, and adults all rejected RVC descriptions of zero-result events and accepted V1 descriptions of these events more often, although children accepted V1 descriptions less often than adults. Second, within pairs matched for object and target result, all three groups accepted V1 descriptions of zero-result events less often when the V1 named an action more strongly associated with the target result; the size of this association effect did not differ credibly between children and adults, and children’s lower acceptance held for both stronger- and weaker-association V1s. Third, in their own descriptions, children and adults produced fewer RVCs and mentioned the target result less often for zero-result than for full-result events, and children produced fewer RVCs than adults mainly because they mentioned the result less often, not because they expressed it in other forms.</w:t>
      </w:r>
    </w:p>
    <w:p w14:paraId="0C5F8170" w14:textId="77777777" w:rsidR="009D4CF3" w:rsidRDefault="00000000">
      <w:pPr>
        <w:pStyle w:val="Heading2"/>
      </w:pPr>
      <w:r>
        <w:t>RVC and V1 Descriptions</w:t>
      </w:r>
    </w:p>
    <w:p w14:paraId="46F550EC" w14:textId="77777777" w:rsidR="009D4CF3" w:rsidRDefault="00000000">
      <w:r>
        <w:rPr/>
        <w:t xml:space="preserve">The larger effect of result realization on RVC than on V1 descriptions shows that children treat a result expressed by V2 differently from a result that is only associated with the action named by V1. This replicates the distinction found in 5-year-olds (J. Liu et al., 2026) and in a small group of children around 4;6 (Chen, 2017), and it extends it to a larger sample of 4-year-olds. On the probability scale, the difference between the two forms was present in all three groups. On the log-odds scale, the Form × Result Realization interaction was probably positive in 5-year-olds and adults (clearly so in 5-year-olds when all 10 pairs were included) but uncertain in 4-year-olds, and 4-year-olds accepted RVC descriptions of zero-result events somewhat more often (19%) than 5-year-olds (11%) and adults (1%). The distinction is therefore in place by 4 years of age for the events tested here, but it is less sharp at 4 than at 5, both because 4-year-olds occasionally accept RVC descriptions of unattained results and because they reject many V1 descriptions of these events. As noted in the Introduction, this conclusion concerns the selected RVCs and events, not RVC semantics or telicity in general.</w:t>
      </w:r>
    </w:p>
    <w:p w14:paraId="46F550EC" w14:textId="77777777" w:rsidR="009D4CF3" w:rsidRDefault="00000000">
      <w:pPr/>
      <w:r>
        <w:rPr/>
        <w:t xml:space="preserve">Children accepted V1 descriptions of zero-result events less often than adults (55% and 58% vs. 83%), replicating the finding that children judge V1 descriptions of events without the result more strictly than adults do (Chen, 2017; J. Liu et al., 2026). Their stricter judgments did not make the two forms equivalent, however: Even 4-year-olds accepted V1 descriptions of zero-result events far more often than RVC descriptions. Children thus do not treat V1s as entailing the result in the way RVCs do; rather, a V1 description of an unattained result is acceptable to them in fewer cases than to adults.</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rPr/>
        <w:t xml:space="preserve">Children and adults rejected V1 descriptions of zero-result events more often when the V1 named an action strongly associated with the target result. Because the object and the target result were constant within pairs, this association effect cannot be attributed to differences between objects or results, which was not possible in previous studies in which each V1 was presented with a different object and result (Chen, 2017). The effect was carried by most pairs rather than by one or two, and it was found with all 10 pairs and with each pair left out in turn. For both children and adults, then, what a V1 description conveys about a result depends on how the named action relates to that result. In adults, this is consistent with the cline in the acceptability of result cancellation across verbs (Chen, 2018) and with evidence that comprehenders’ expectations about events depend on the combination of a verb with its arguments (Bicknell et al., 2010; McRae &amp; Matsuki, 2009). In children, it shows that the variation among V1s that Chen (2017) attributed to the strength of the state-change implicature can be found when the event is held constant and only the action varies.</w:t>
      </w:r>
    </w:p>
    <w:p w14:paraId="7174531D" w14:textId="77777777" w:rsidR="009D4CF3" w:rsidRDefault="00000000">
      <w:r>
        <w:rPr/>
        <w:t xml:space="preserve">Why action–result association matters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the association effect, not as hypotheses the study was designed to test.</w:t>
      </w:r>
    </w:p>
    <w:p w14:paraId="16A57566" w14:textId="77777777" w:rsidR="009D4CF3" w:rsidRDefault="00000000">
      <w:r>
        <w:rPr/>
        <w:t xml:space="preserve">The association effect did not differ credibly between children and adults, and children accepted V1 descriptions of zero-result events less often than adults for both stronger- and weaker-association V1s. This pattern matches the predictions and the initial analysis with the original Strong/Weak coding. The comparison between children and adults was inconclusive rather than null, however: The effect was, if anything, smaller in children on the log-odds scale and larger in children on the probability scale, because adults accepted weaker-association V1s almost always, and the intervals on both scales were wide. With this caveat, the results suggest that children are sensitive to action–result association in the same way as adults and that their stricter judgments do not arise only for V1s that name strongly associated actions. Children’s lower acceptance then reflects a more general difference in how they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Because children tend to be more tolerant than adults of underinformative descriptions in binary judgment tasks (Katsos &amp; Bishop, 2011), the second explanation would require that a description that leaves the result unaddressed is perceived as more than underinformative when an attempt has failed. The production data, discussed below, bear on these explanations.</w:t>
      </w:r>
    </w:p>
    <w:p w14:paraId="64959941" w14:textId="77777777" w:rsidR="009D4CF3" w:rsidRDefault="00000000">
      <w:r>
        <w:rPr/>
        <w:t xml:space="preserve">Because the stronger- and weaker-association expressions differ in both rated likelihood and rated typicality, the study cannot determine which dimension, or what the two share, underlies the association effect; the two ratings diverged only in Pair 7, which was excluded. The contrast between stronger- and weaker-association expressions also goes together with a difference in the conventionality of the corresponding RVCs. A child who often hears </w:t>
      </w:r>
      <w:r>
        <w:rPr>
          <w:i/>
        </w:rPr>
        <w:t xml:space="preserve">chuī-miè</w:t>
      </w:r>
      <w:r>
        <w:rPr/>
        <w:t xml:space="preserve"> “blow-extinguished” may come to expect a candle to go out after </w:t>
      </w:r>
      <w:r>
        <w:rPr>
          <w:i/>
        </w:rPr>
        <w:t xml:space="preserve">chuī</w:t>
      </w:r>
      <w:r>
        <w:rPr/>
        <w:t xml:space="preserve"> “blow,” so familiarity with the RVC offers an alternative account of the association effect. This account is not incompatible with the association account, because an action that reliably brings about a result is also likely to be described often with the corresponding RVC, but the present materials cannot separate the two. Pair 6 offers a small hint, because the RVC with the weaker-association V1, </w:t>
      </w:r>
      <w:r>
        <w:rPr>
          <w:i/>
        </w:rPr>
        <w:t xml:space="preserve">tuī-dǎo</w:t>
      </w:r>
      <w:r>
        <w:rPr/>
        <w:t xml:space="preserve"> “push-fallen,” was far more frequent than </w:t>
      </w:r>
      <w:r>
        <w:rPr>
          <w:i/>
        </w:rPr>
        <w:t xml:space="preserve">tī-dǎo</w:t>
      </w:r>
      <w:r>
        <w:rPr/>
        <w:t xml:space="preserve"> “kick-fallen”; children nevertheless accepted </w:t>
      </w:r>
      <w:r>
        <w:rPr>
          <w:i/>
        </w:rPr>
        <w:t xml:space="preserve">tī</w:t>
      </w:r>
      <w:r>
        <w:rPr/>
        <w:t xml:space="preserve"> “kick” less often than </w:t>
      </w:r>
      <w:r>
        <w:rPr>
          <w:i/>
        </w:rPr>
        <w:t xml:space="preserve">tuī</w:t>
      </w:r>
      <w:r>
        <w:rPr/>
        <w:t xml:space="preserve"> “push” in zero-result events, as the ratings predict. A single pair cannot decide between the accounts, and the frequency of </w:t>
      </w:r>
      <w:r>
        <w:rPr>
          <w:i/>
        </w:rPr>
        <w:t xml:space="preserve">tuī-dǎo</w:t>
      </w:r>
      <w:r>
        <w:rPr/>
        <w:t xml:space="preserve"> reflects mainly abstract uses.</w:t>
      </w:r>
    </w:p>
    <w:p w14:paraId="5A252C3A" w14:textId="77777777" w:rsidR="009D4CF3" w:rsidRDefault="00000000">
      <w:pPr>
        <w:pStyle w:val="Heading2"/>
      </w:pPr>
      <w:r>
        <w:t>Form and Information in Production</w:t>
      </w:r>
    </w:p>
    <w:p w14:paraId="5F1E9033" w14:textId="77777777" w:rsidR="009D4CF3" w:rsidRDefault="00000000">
      <w:r>
        <w:rPr/>
        <w:t xml:space="preserve">Comparing RVC use with mention of the target result separates the forms speakers used from the information they expressed. All groups mentioned the target result less often for zero-result than for full-result events, and 5-year-olds and adults also produced fewer RVCs; 4-year-olds produced few RVCs in either condition. RVC use and mention of the target result declined together, and in zero-result events responses that mentioned the result in another form, in a separate predicate or without the action, were rare. Speakers describing a failed attempt thus tended to leave the result unmentioned rather than express it in another form. When adults mentioned the result in a zero-result event, they usually denied it (e.g., </w:t>
      </w:r>
      <w:r>
        <w:rPr>
          <w:i/>
        </w:rPr>
        <w:t xml:space="preserve">méi zá-kāi</w:t>
      </w:r>
      <w:r>
        <w:rPr/>
        <w:t xml:space="preserve"> “did not smash open”) or presented it as the actor’s goal (e.g., </w:t>
      </w:r>
      <w:r>
        <w:rPr>
          <w:i/>
        </w:rPr>
        <w:t xml:space="preserve">shìtú sī-kāi</w:t>
      </w:r>
      <w:r>
        <w:rPr/>
        <w:t xml:space="preserve"> “tried to tear open”), so their RVCs in zero-result events typically appeared in negated, potential, or attempt constructions. Children rarely mentioned the result in zero-result events, and when they did, they mostly denied it, often with potential forms such as </w:t>
      </w:r>
      <w:r>
        <w:rPr>
          <w:i/>
        </w:rPr>
        <w:t xml:space="preserve">qiāo bù kāi</w:t>
      </w:r>
      <w:r>
        <w:rPr/>
        <w:t xml:space="preserve"> “knock-cannot-open.” Responses affirming the target result in a zero-result event were rare in all groups (1%–4% of zero-result responses), so children did not describe an unattained result as attained.</w:t>
      </w:r>
    </w:p>
    <w:p w14:paraId="5F1E9033" w14:textId="77777777" w:rsidR="009D4CF3" w:rsidRDefault="00000000">
      <w:pPr/>
      <w:r>
        <w:rPr/>
        <w:t xml:space="preserve">Children produced fewer RVCs than adults in both result conditions. In full-result events, children’s descriptions more often named the action alone, and children did not express the result in separate predicates or without the action more often than adults. Children’s lower RVC use therefore reflects less frequent mention of the target result rather than a different way of packaging it. This is consistent with evidence that children can form RVCs (Chen, 2008; Deng, 2019; Hsu et al., 2019) but shows that, in an open-ended task, they often do not express the result even when it is attained. RVC frequency alone therefore underestimates what children know about RVCs, and comparing RVC use with mention of the result is needed to interpret it. Because children responded orally and adults in writing, part of this difference may reflect response modality; adults’ written descriptions were on average more than twice as long as children’s oral descriptions (15 vs. 6 characters).</w:t>
      </w:r>
    </w:p>
    <w:p w14:paraId="5F1E9033" w14:textId="77777777" w:rsidR="009D4CF3" w:rsidRDefault="00000000">
      <w:pPr/>
      <w:r>
        <w:rPr/>
        <w:t xml:space="preserve">The two experiments also present an asymmetry at the group level. In production, children described most zero-result events with action-only responses, that is, with the kind of V1 description they rejected in about 40% of comprehension trials. If children judged V1 descriptions of failed attempts to be false because the V1 entails the result, they should avoid such descriptions in production as well. That they produced them freely suggests that their rejections in comprehension do not reflect a lexical entailment but how they evaluate a description supplied to them, for example as leaving an expected result unaddressed or as describing a poor instance of the action. This interpretation is tentative, because comprehension and production were tested in independent samples and the tasks differ in their demands: An open-ended description task allows a speaker to describe the action without committing to the result, whereas a yes–no question requires a decision about a description that may be taken to bear on the result. A within-participant comparison of comprehension and production would test the interpretation directly.</w:t>
      </w:r>
    </w:p>
    <w:p w14:paraId="328EDA48" w14:textId="77777777" w:rsidR="009D4CF3" w:rsidRDefault="00000000">
      <w:pPr>
        <w:pStyle w:val="Heading2"/>
      </w:pPr>
      <w:r>
        <w:lastRenderedPageBreak/>
        <w:t>Limitations and Future Directions</w:t>
      </w:r>
    </w:p>
    <w:p w14:paraId="2D58C942" w14:textId="77777777" w:rsidR="009D4CF3" w:rsidRDefault="00000000">
      <w:r>
        <w:rPr/>
        <w:t xml:space="preserve">Several limitations follow from the design and from the materials.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 xml:space="preserve">tī</w:t>
      </w:r>
      <w:r>
        <w:rP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The eight-pair results agreed with the 10-pair analyses, but the association effect needs to be replicated with a new sample of children, and the comparison of the effect between children and adults requires larger samples. Fifth, the ratings describe expressions rather than videos, and the videos did not always elicit the intended V1; for Pairs 4 and 10, the rating items differed slightly in wording from the experimental items; and in Pair 9, the stain on the mirror was small, so the zero-result videos may not have shown clearly that the mirror remained unclean. Sixth, the production data were coded with item-specific criteria that will be checked by a second coder. </w:t>
      </w:r>
      <w:r>
        <w:rPr>
          <w:highlight w:val="yellow"/>
        </w:rPr>
        <w:t xml:space="preserve">[人工核对与第二编码者完成后修改此句]</w:t>
      </w:r>
      <w:r>
        <w:rPr/>
        <w:t xml:space="preserve">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proofErr w:type="spellStart"/>
      <w:proofErr w:type="spellEnd"/>
      <w:r>
        <w:rPr/>
        <w:t xml:space="preserve">Mandarin-speaking 4- and 5-year-olds distinguish RVCs from their monomorphemic V1s with respect to the target result: Like adults, they reject RVC descriptions of events in which the result is not attained and accept V1 descriptions of these events more often, although less often than adults do. Their acceptance of V1 descriptions also depends on the relation between the named action and the result. When the object and the target result are held constant, children and adults alike are less willing to accept a V1 description of a failed attempt if the action is strongly associated with the result, and children’s stricter judgments hold for strongly and weakly associated actions alike. In their own descriptions, children rarely express an unattained result and often leave an attained result unmentioned, so that their lower use of RVCs reflects which information they express rather than how they package it. What a monomorphemic verb conveys about a result, for children as for adults, is thus best characterized not as a fixed property of the verb but as a property of the relation between the action it names and the result in question.</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p w14:paraId="18133AA6" w14:textId="77777777" w:rsidR="009D4CF3" w:rsidRDefault="00000000">
      <w:pPr>
        <w:pStyle w:val="Heading1"/>
        <w:pageBreakBefore/>
      </w:pPr>
      <w:r>
        <w:rPr/>
        <w:t xml:space="preserve">Appendix</w:t>
      </w:r>
    </w:p>
    <w:p w14:paraId="18133AA6" w14:textId="77777777" w:rsidR="009D4CF3" w:rsidRDefault="00000000">
      <w:pPr>
        <w:pStyle w:val="TableNumber"/>
      </w:pPr>
      <w:r>
        <w:rPr/>
        <w:t xml:space="preserve">Table A1</w:t>
      </w:r>
    </w:p>
    <w:p w14:paraId="18133AA6" w14:textId="77777777" w:rsidR="009D4CF3" w:rsidRDefault="00000000">
      <w:pPr>
        <w:pStyle w:val="TableTitle"/>
      </w:pPr>
      <w:r>
        <w:rPr>
          <w:i/>
        </w:rPr>
        <w:t xml:space="preserve">Proportion of Descriptions Containing the Intended V1 in the Verb–Video Correspondence Norming</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Borders>
              <w:bottom w:val="single" w:sz="4" w:space="0" w:color="000000"/>
            </w:tcBorders>
          </w:tcPr>
          <w:p>
            <w:pPr>
              <w:pStyle w:val="TableText"/>
            </w:pPr>
            <w:r/>
            <w:r>
              <w:rPr/>
              <w:t xml:space="preserve">Pair</w:t>
            </w:r>
          </w:p>
        </w:tc>
        <w:tc>
          <w:tcPr>
            <w:tcW w:type="dxa" w:w="1337"/>
            <w:tcBorders>
              <w:bottom w:val="single" w:sz="4" w:space="0" w:color="000000"/>
            </w:tcBorders>
          </w:tcPr>
          <w:p>
            <w:pPr>
              <w:pStyle w:val="TableText"/>
            </w:pPr>
            <w:r/>
            <w:r>
              <w:rPr/>
              <w:t xml:space="preserve">Stronger-association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c>
          <w:tcPr>
            <w:tcW w:type="dxa" w:w="1337"/>
            <w:tcBorders>
              <w:bottom w:val="single" w:sz="4" w:space="0" w:color="000000"/>
            </w:tcBorders>
          </w:tcPr>
          <w:p>
            <w:pPr>
              <w:pStyle w:val="TableText"/>
            </w:pPr>
            <w:r/>
            <w:r>
              <w:rPr/>
              <w:t xml:space="preserve">Weaker-association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r>
      <w:tr>
        <w:tc>
          <w:tcPr>
            <w:tcW w:type="dxa" w:w="1337"/>
          </w:tcPr>
          <w:p>
            <w:pPr>
              <w:pStyle w:val="TableText"/>
            </w:pPr>
            <w:r/>
            <w:r>
              <w:rPr/>
              <w:t xml:space="preserve">1</w:t>
            </w:r>
          </w:p>
        </w:tc>
        <w:tc>
          <w:tcPr>
            <w:tcW w:type="dxa" w:w="1337"/>
          </w:tcPr>
          <w:p>
            <w:pPr>
              <w:pStyle w:val="TableText"/>
            </w:pPr>
            <w:r/>
            <w:r>
              <w:rPr>
                <w:i/>
              </w:rPr>
              <w:t xml:space="preserve">bāo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niē</w:t>
            </w:r>
          </w:p>
        </w:tc>
        <w:tc>
          <w:tcPr>
            <w:tcW w:type="dxa" w:w="1337"/>
          </w:tcPr>
          <w:p>
            <w:pPr>
              <w:pStyle w:val="TableText"/>
              <w:jc w:val="center"/>
            </w:pPr>
            <w:r/>
            <w:r>
              <w:rPr/>
              <w:t xml:space="preserve">0.25</w:t>
            </w:r>
          </w:p>
        </w:tc>
        <w:tc>
          <w:tcPr>
            <w:tcW w:type="dxa" w:w="1337"/>
          </w:tcPr>
          <w:p>
            <w:pPr>
              <w:pStyle w:val="TableText"/>
              <w:jc w:val="center"/>
            </w:pPr>
            <w:r/>
            <w:r>
              <w:rPr/>
              <w:t xml:space="preserve">0.44</w:t>
            </w:r>
          </w:p>
        </w:tc>
      </w:tr>
      <w:tr>
        <w:tc>
          <w:tcPr>
            <w:tcW w:type="dxa" w:w="1337"/>
          </w:tcPr>
          <w:p>
            <w:pPr>
              <w:pStyle w:val="TableText"/>
            </w:pPr>
            <w:r/>
            <w:r>
              <w:rPr/>
              <w:t xml:space="preserve">2</w:t>
            </w:r>
          </w:p>
        </w:tc>
        <w:tc>
          <w:tcPr>
            <w:tcW w:type="dxa" w:w="1337"/>
          </w:tcPr>
          <w:p>
            <w:pPr>
              <w:pStyle w:val="TableText"/>
            </w:pPr>
            <w:r/>
            <w:r>
              <w:rPr>
                <w:i/>
              </w:rPr>
              <w:t xml:space="preserve">xiān</w:t>
            </w:r>
          </w:p>
        </w:tc>
        <w:tc>
          <w:tcPr>
            <w:tcW w:type="dxa" w:w="1337"/>
          </w:tcPr>
          <w:p>
            <w:pPr>
              <w:pStyle w:val="TableText"/>
              <w:jc w:val="center"/>
            </w:pPr>
            <w:r/>
            <w:r>
              <w:rPr/>
              <w:t xml:space="preserve">0.12</w:t>
            </w:r>
          </w:p>
        </w:tc>
        <w:tc>
          <w:tcPr>
            <w:tcW w:type="dxa" w:w="1337"/>
          </w:tcPr>
          <w:p>
            <w:pPr>
              <w:pStyle w:val="TableText"/>
              <w:jc w:val="center"/>
            </w:pPr>
            <w:r/>
            <w:r>
              <w:rPr/>
              <w:t xml:space="preserve">0.18</w:t>
            </w:r>
          </w:p>
        </w:tc>
        <w:tc>
          <w:tcPr>
            <w:tcW w:type="dxa" w:w="1337"/>
          </w:tcPr>
          <w:p>
            <w:pPr>
              <w:pStyle w:val="TableText"/>
            </w:pPr>
            <w:r/>
            <w:r>
              <w:rPr>
                <w:i/>
              </w:rPr>
              <w:t xml:space="preserve">pāi</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3</w:t>
            </w:r>
          </w:p>
        </w:tc>
        <w:tc>
          <w:tcPr>
            <w:tcW w:type="dxa" w:w="1337"/>
          </w:tcPr>
          <w:p>
            <w:pPr>
              <w:pStyle w:val="TableText"/>
            </w:pPr>
            <w:r/>
            <w:r>
              <w:rPr>
                <w:i/>
              </w:rPr>
              <w:t xml:space="preserve">bāi</w:t>
            </w:r>
          </w:p>
        </w:tc>
        <w:tc>
          <w:tcPr>
            <w:tcW w:type="dxa" w:w="1337"/>
          </w:tcPr>
          <w:p>
            <w:pPr>
              <w:pStyle w:val="TableText"/>
              <w:jc w:val="center"/>
            </w:pPr>
            <w:r/>
            <w:r>
              <w:rPr/>
              <w:t xml:space="preserve">0.88</w:t>
            </w:r>
          </w:p>
        </w:tc>
        <w:tc>
          <w:tcPr>
            <w:tcW w:type="dxa" w:w="1337"/>
          </w:tcPr>
          <w:p>
            <w:pPr>
              <w:pStyle w:val="TableText"/>
              <w:jc w:val="center"/>
            </w:pPr>
            <w:r/>
            <w:r>
              <w:rPr/>
              <w:t xml:space="preserve">0.88</w:t>
            </w:r>
          </w:p>
        </w:tc>
        <w:tc>
          <w:tcPr>
            <w:tcW w:type="dxa" w:w="1337"/>
          </w:tcPr>
          <w:p>
            <w:pPr>
              <w:pStyle w:val="TableText"/>
            </w:pPr>
            <w:r/>
            <w:r>
              <w:rPr>
                <w:i/>
              </w:rPr>
              <w:t xml:space="preserve">àn</w:t>
            </w:r>
          </w:p>
        </w:tc>
        <w:tc>
          <w:tcPr>
            <w:tcW w:type="dxa" w:w="1337"/>
          </w:tcPr>
          <w:p>
            <w:pPr>
              <w:pStyle w:val="TableText"/>
              <w:jc w:val="center"/>
            </w:pPr>
            <w:r/>
            <w:r>
              <w:rPr/>
              <w:t xml:space="preserve">0.62</w:t>
            </w:r>
          </w:p>
        </w:tc>
        <w:tc>
          <w:tcPr>
            <w:tcW w:type="dxa" w:w="1337"/>
          </w:tcPr>
          <w:p>
            <w:pPr>
              <w:pStyle w:val="TableText"/>
              <w:jc w:val="center"/>
            </w:pPr>
            <w:r/>
            <w:r>
              <w:rPr/>
              <w:t xml:space="preserve">0.55</w:t>
            </w:r>
          </w:p>
        </w:tc>
      </w:tr>
      <w:tr>
        <w:tc>
          <w:tcPr>
            <w:tcW w:type="dxa" w:w="1337"/>
          </w:tcPr>
          <w:p>
            <w:pPr>
              <w:pStyle w:val="TableText"/>
            </w:pPr>
            <w:r/>
            <w:r>
              <w:rPr/>
              <w:t xml:space="preserve">4</w:t>
            </w:r>
          </w:p>
        </w:tc>
        <w:tc>
          <w:tcPr>
            <w:tcW w:type="dxa" w:w="1337"/>
          </w:tcPr>
          <w:p>
            <w:pPr>
              <w:pStyle w:val="TableText"/>
            </w:pPr>
            <w:r/>
            <w:r>
              <w:rPr>
                <w:i/>
              </w:rPr>
              <w:t xml:space="preserve">sī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chě</w:t>
            </w:r>
          </w:p>
        </w:tc>
        <w:tc>
          <w:tcPr>
            <w:tcW w:type="dxa" w:w="1337"/>
          </w:tcPr>
          <w:p>
            <w:pPr>
              <w:pStyle w:val="TableText"/>
              <w:jc w:val="center"/>
            </w:pPr>
            <w:r/>
            <w:r>
              <w:rPr/>
              <w:t xml:space="preserve">0.38</w:t>
            </w:r>
          </w:p>
        </w:tc>
        <w:tc>
          <w:tcPr>
            <w:tcW w:type="dxa" w:w="1337"/>
          </w:tcPr>
          <w:p>
            <w:pPr>
              <w:pStyle w:val="TableText"/>
              <w:jc w:val="center"/>
            </w:pPr>
            <w:r/>
            <w:r>
              <w:rPr/>
              <w:t xml:space="preserve">0.33</w:t>
            </w:r>
          </w:p>
        </w:tc>
      </w:tr>
      <w:tr>
        <w:tc>
          <w:tcPr>
            <w:tcW w:type="dxa" w:w="1337"/>
          </w:tcPr>
          <w:p>
            <w:pPr>
              <w:pStyle w:val="TableText"/>
            </w:pPr>
            <w:r/>
            <w:r>
              <w:rPr/>
              <w:t xml:space="preserve">5</w:t>
            </w:r>
          </w:p>
        </w:tc>
        <w:tc>
          <w:tcPr>
            <w:tcW w:type="dxa" w:w="1337"/>
          </w:tcPr>
          <w:p>
            <w:pPr>
              <w:pStyle w:val="TableText"/>
            </w:pPr>
            <w:r/>
            <w:r>
              <w:rPr>
                <w:i/>
              </w:rPr>
              <w:t xml:space="preserve">chuī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huī</w:t>
            </w:r>
          </w:p>
        </w:tc>
        <w:tc>
          <w:tcPr>
            <w:tcW w:type="dxa" w:w="1337"/>
          </w:tcPr>
          <w:p>
            <w:pPr>
              <w:pStyle w:val="TableText"/>
              <w:jc w:val="center"/>
            </w:pPr>
            <w:r/>
            <w:r>
              <w:rPr/>
              <w:t xml:space="preserve">0.50</w:t>
            </w:r>
          </w:p>
        </w:tc>
        <w:tc>
          <w:tcPr>
            <w:tcW w:type="dxa" w:w="1337"/>
          </w:tcPr>
          <w:p>
            <w:pPr>
              <w:pStyle w:val="TableText"/>
              <w:jc w:val="center"/>
            </w:pPr>
            <w:r/>
            <w:r>
              <w:rPr/>
              <w:t xml:space="preserve">0.50</w:t>
            </w:r>
          </w:p>
        </w:tc>
      </w:tr>
      <w:tr>
        <w:tc>
          <w:tcPr>
            <w:tcW w:type="dxa" w:w="1337"/>
          </w:tcPr>
          <w:p>
            <w:pPr>
              <w:pStyle w:val="TableText"/>
            </w:pPr>
            <w:r/>
            <w:r>
              <w:rPr/>
              <w:t xml:space="preserve">6</w:t>
            </w:r>
          </w:p>
        </w:tc>
        <w:tc>
          <w:tcPr>
            <w:tcW w:type="dxa" w:w="1337"/>
          </w:tcPr>
          <w:p>
            <w:pPr>
              <w:pStyle w:val="TableText"/>
            </w:pPr>
            <w:r/>
            <w:r>
              <w:rPr>
                <w:i/>
              </w:rPr>
              <w:t xml:space="preserve">tī</w:t>
            </w:r>
          </w:p>
        </w:tc>
        <w:tc>
          <w:tcPr>
            <w:tcW w:type="dxa" w:w="1337"/>
          </w:tcPr>
          <w:p>
            <w:pPr>
              <w:pStyle w:val="TableText"/>
              <w:jc w:val="center"/>
            </w:pPr>
            <w:r/>
            <w:r>
              <w:rPr/>
              <w:t xml:space="preserve">0.75</w:t>
            </w:r>
          </w:p>
        </w:tc>
        <w:tc>
          <w:tcPr>
            <w:tcW w:type="dxa" w:w="1337"/>
          </w:tcPr>
          <w:p>
            <w:pPr>
              <w:pStyle w:val="TableText"/>
              <w:jc w:val="center"/>
            </w:pPr>
            <w:r/>
            <w:r>
              <w:rPr/>
              <w:t xml:space="preserve">0.70</w:t>
            </w:r>
          </w:p>
        </w:tc>
        <w:tc>
          <w:tcPr>
            <w:tcW w:type="dxa" w:w="1337"/>
          </w:tcPr>
          <w:p>
            <w:pPr>
              <w:pStyle w:val="TableText"/>
            </w:pPr>
            <w:r/>
            <w:r>
              <w:rPr>
                <w:i/>
              </w:rPr>
              <w:t xml:space="preserve">tuī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7ᵃ</w:t>
            </w:r>
          </w:p>
        </w:tc>
        <w:tc>
          <w:tcPr>
            <w:tcW w:type="dxa" w:w="1337"/>
          </w:tcPr>
          <w:p>
            <w:pPr>
              <w:pStyle w:val="TableText"/>
            </w:pPr>
            <w:r/>
            <w:r>
              <w:rPr>
                <w:i/>
              </w:rPr>
              <w:t xml:space="preserve">qiā</w:t>
            </w:r>
          </w:p>
        </w:tc>
        <w:tc>
          <w:tcPr>
            <w:tcW w:type="dxa" w:w="1337"/>
          </w:tcPr>
          <w:p>
            <w:pPr>
              <w:pStyle w:val="TableText"/>
              <w:jc w:val="center"/>
            </w:pPr>
            <w:r/>
            <w:r>
              <w:rPr/>
              <w:t xml:space="preserve">0.62</w:t>
            </w:r>
          </w:p>
        </w:tc>
        <w:tc>
          <w:tcPr>
            <w:tcW w:type="dxa" w:w="1337"/>
          </w:tcPr>
          <w:p>
            <w:pPr>
              <w:pStyle w:val="TableText"/>
              <w:jc w:val="center"/>
            </w:pPr>
            <w:r/>
            <w:r>
              <w:rPr/>
              <w:t xml:space="preserve">0.80</w:t>
            </w:r>
          </w:p>
        </w:tc>
        <w:tc>
          <w:tcPr>
            <w:tcW w:type="dxa" w:w="1337"/>
          </w:tcPr>
          <w:p>
            <w:pPr>
              <w:pStyle w:val="TableText"/>
            </w:pPr>
            <w:r/>
            <w:r>
              <w:rPr>
                <w:i/>
              </w:rPr>
              <w:t xml:space="preserve">jiào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8ᵃ</w:t>
            </w:r>
          </w:p>
        </w:tc>
        <w:tc>
          <w:tcPr>
            <w:tcW w:type="dxa" w:w="1337"/>
          </w:tcPr>
          <w:p>
            <w:pPr>
              <w:pStyle w:val="TableText"/>
            </w:pPr>
            <w:r/>
            <w:r>
              <w:rPr>
                <w:i/>
              </w:rPr>
              <w:t xml:space="preserve">tú</w:t>
            </w:r>
          </w:p>
        </w:tc>
        <w:tc>
          <w:tcPr>
            <w:tcW w:type="dxa" w:w="1337"/>
          </w:tcPr>
          <w:p>
            <w:pPr>
              <w:pStyle w:val="TableText"/>
              <w:jc w:val="center"/>
            </w:pPr>
            <w:r/>
            <w:r>
              <w:rPr/>
              <w:t xml:space="preserve">0.88</w:t>
            </w:r>
          </w:p>
        </w:tc>
        <w:tc>
          <w:tcPr>
            <w:tcW w:type="dxa" w:w="1337"/>
          </w:tcPr>
          <w:p>
            <w:pPr>
              <w:pStyle w:val="TableText"/>
              <w:jc w:val="center"/>
            </w:pPr>
            <w:r/>
            <w:r>
              <w:rPr/>
              <w:t xml:space="preserve">0.89</w:t>
            </w:r>
          </w:p>
        </w:tc>
        <w:tc>
          <w:tcPr>
            <w:tcW w:type="dxa" w:w="1337"/>
          </w:tcPr>
          <w:p>
            <w:pPr>
              <w:pStyle w:val="TableText"/>
            </w:pPr>
            <w:r/>
            <w:r>
              <w:rPr>
                <w:i/>
              </w:rPr>
              <w:t xml:space="preserve">náo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9</w:t>
            </w:r>
          </w:p>
        </w:tc>
        <w:tc>
          <w:tcPr>
            <w:tcW w:type="dxa" w:w="1337"/>
          </w:tcPr>
          <w:p>
            <w:pPr>
              <w:pStyle w:val="TableText"/>
            </w:pPr>
            <w:r/>
            <w:r>
              <w:rPr>
                <w:i/>
              </w:rPr>
              <w:t xml:space="preserve">cā</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chōng</w:t>
            </w:r>
          </w:p>
        </w:tc>
        <w:tc>
          <w:tcPr>
            <w:tcW w:type="dxa" w:w="1337"/>
          </w:tcPr>
          <w:p>
            <w:pPr>
              <w:pStyle w:val="TableText"/>
              <w:jc w:val="center"/>
            </w:pPr>
            <w:r/>
            <w:r>
              <w:rPr/>
              <w:t xml:space="preserve">0.55</w:t>
            </w:r>
          </w:p>
        </w:tc>
        <w:tc>
          <w:tcPr>
            <w:tcW w:type="dxa" w:w="1337"/>
          </w:tcPr>
          <w:p>
            <w:pPr>
              <w:pStyle w:val="TableText"/>
              <w:jc w:val="center"/>
            </w:pPr>
            <w:r/>
            <w:r>
              <w:rPr/>
              <w:t xml:space="preserve">0.73</w:t>
            </w:r>
          </w:p>
        </w:tc>
      </w:tr>
      <w:tr>
        <w:tc>
          <w:tcPr>
            <w:tcW w:type="dxa" w:w="1337"/>
          </w:tcPr>
          <w:p>
            <w:pPr>
              <w:pStyle w:val="TableText"/>
            </w:pPr>
            <w:r/>
            <w:r>
              <w:rPr/>
              <w:t xml:space="preserve">10</w:t>
            </w:r>
          </w:p>
        </w:tc>
        <w:tc>
          <w:tcPr>
            <w:tcW w:type="dxa" w:w="1337"/>
          </w:tcPr>
          <w:p>
            <w:pPr>
              <w:pStyle w:val="TableText"/>
            </w:pPr>
            <w:r/>
            <w:r>
              <w:rPr>
                <w:i/>
              </w:rPr>
              <w:t xml:space="preserve">jiā</w:t>
            </w:r>
          </w:p>
        </w:tc>
        <w:tc>
          <w:tcPr>
            <w:tcW w:type="dxa" w:w="1337"/>
          </w:tcPr>
          <w:p>
            <w:pPr>
              <w:pStyle w:val="TableText"/>
              <w:jc w:val="center"/>
            </w:pPr>
            <w:r/>
            <w:r>
              <w:rPr/>
              <w:t xml:space="preserve">0.62</w:t>
            </w:r>
          </w:p>
        </w:tc>
        <w:tc>
          <w:tcPr>
            <w:tcW w:type="dxa" w:w="1337"/>
          </w:tcPr>
          <w:p>
            <w:pPr>
              <w:pStyle w:val="TableText"/>
              <w:jc w:val="center"/>
            </w:pPr>
            <w:r/>
            <w:r>
              <w:rPr/>
              <w:t xml:space="preserve">0.64</w:t>
            </w:r>
          </w:p>
        </w:tc>
        <w:tc>
          <w:tcPr>
            <w:tcW w:type="dxa" w:w="1337"/>
          </w:tcPr>
          <w:p>
            <w:pPr>
              <w:pStyle w:val="TableText"/>
            </w:pPr>
            <w:r/>
            <w:r>
              <w:rPr>
                <w:i/>
              </w:rPr>
              <w:t xml:space="preserve">chuí</w:t>
            </w:r>
          </w:p>
        </w:tc>
        <w:tc>
          <w:tcPr>
            <w:tcW w:type="dxa" w:w="1337"/>
          </w:tcPr>
          <w:p>
            <w:pPr>
              <w:pStyle w:val="TableText"/>
              <w:jc w:val="center"/>
            </w:pPr>
            <w:r/>
            <w:r>
              <w:rPr/>
              <w:t xml:space="preserve">0.38</w:t>
            </w:r>
          </w:p>
        </w:tc>
        <w:tc>
          <w:tcPr>
            <w:tcW w:type="dxa" w:w="1337"/>
          </w:tcPr>
          <w:p>
            <w:pPr>
              <w:pStyle w:val="TableText"/>
              <w:jc w:val="center"/>
            </w:pPr>
            <w:r/>
            <w:r>
              <w:rPr/>
              <w:t xml:space="preserve">0.36</w:t>
            </w:r>
          </w:p>
        </w:tc>
      </w:tr>
    </w:tbl>
    <w:p w14:paraId="461146B5" w14:textId="764D5272" w:rsidR="009D4CF3" w:rsidRPr="0055050F" w:rsidRDefault="00000000">
      <w:pPr>
        <w:pStyle w:val="TableNote"/>
        <w:rPr>
          <w:rFonts w:eastAsiaTheme="minorEastAsia"/>
        </w:rPr>
      </w:pPr>
      <w:r>
        <w:rPr>
          <w:i/>
        </w:rPr>
        <w:t xml:space="preserve">Note.</w:t>
      </w:r>
      <w:r>
        <w:rPr/>
        <w:t xml:space="preserve"> First = proportion of participants whose first description contained the intended V1; All = proportion of all descriptions, including those given on request, that contained the intended V1 (</w:t>
      </w:r>
      <w:r>
        <w:rPr>
          <w:i/>
        </w:rPr>
        <w:t xml:space="preserve">n</w:t>
      </w:r>
      <w:r>
        <w:rPr/>
        <w:t xml:space="preserve"> = 8 participants per video). The All values are used as the covariate in the sensitivity analysis of Experiment 1. ᵃ Excluded from the analyses of Experiment 1.</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