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FE52" w14:textId="77777777" w:rsidR="008215DC" w:rsidRDefault="00000000">
      <w:pPr>
        <w:pStyle w:val="Title"/>
      </w:pPr>
      <w:r>
        <w:rPr/>
        <w:t xml:space="preserve">Mandarin-Speaking Children’s Interpretation and Expression of Actions and Results: Evidence </w:t>
      </w:r>
      <w:proofErr w:type="gramStart"/>
      <w:r>
        <w:rPr/>
        <w:t>From</w:t>
      </w:r>
      <w:proofErr w:type="gramEnd"/>
      <w:r>
        <w:rPr/>
        <w:t xml:space="preserve"> Resultative Verb Compounds and Monomorphemic V1s</w:t>
      </w:r>
    </w:p>
    <w:p w14:paraId="35AF5805" w14:textId="77777777" w:rsidR="008215DC" w:rsidRDefault="00000000">
      <w:pPr/>
      <w:r>
        <w:rPr/>
        <w:t xml:space="preserve">Describing an event involves identifying what someone did and whether that action brought about a particular result. Someone can squeeze a lychee without getting it </w:t>
      </w:r>
      <w:proofErr w:type="gramStart"/>
      <w:r>
        <w:rPr/>
        <w:t>open, or</w:t>
      </w:r>
      <w:proofErr w:type="gramEnd"/>
      <w:r>
        <w:rPr/>
        <w:t xml:space="preserve"> wipe a mirror without getting it clean. To talk about such events, children must learn what different expressions commit a speaker to with respect to the result, and which information to express when they describe an event themselves.</w:t>
      </w:r>
    </w:p>
    <w:p w14:paraId="22D0958E" w14:textId="77777777" w:rsidR="008215DC" w:rsidRDefault="00000000">
      <w:pPr/>
      <w:r>
        <w:rP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370624FB" w14:textId="77777777" w:rsidR="008215DC" w:rsidRDefault="00000000">
      <w:pPr>
        <w:pStyle w:val="ExampleFirst"/>
      </w:pPr>
      <w:r>
        <w:rPr/>
        <w:t>(1)</w:t>
      </w:r>
      <w:r>
        <w:rPr/>
        <w:tab/>
        <w:t>a.</w:t>
      </w:r>
      <w:r>
        <w:rP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01C57419" w14:textId="77777777" w:rsidR="008215DC" w:rsidRDefault="00000000">
      <w:pPr>
        <w:pStyle w:val="Example"/>
      </w:pPr>
      <w:r>
        <w:rPr/>
        <w:tab/>
      </w:r>
      <w:r>
        <w:rPr/>
        <w:tab/>
        <w:t>she peel-open-PERF lychee</w:t>
      </w:r>
    </w:p>
    <w:p w14:paraId="0F039E6E" w14:textId="77777777" w:rsidR="008215DC" w:rsidRDefault="00000000">
      <w:pPr>
        <w:pStyle w:val="Example"/>
      </w:pPr>
      <w:r>
        <w:rPr/>
        <w:tab/>
      </w:r>
      <w:r>
        <w:rPr/>
        <w:tab/>
        <w:t>“She peeled the lychee open.”</w:t>
      </w:r>
    </w:p>
    <w:p w14:paraId="18E1900C" w14:textId="77777777" w:rsidR="008215DC" w:rsidRDefault="00000000">
      <w:pPr>
        <w:pStyle w:val="Example"/>
      </w:pPr>
      <w:r>
        <w:rPr/>
        <w:tab/>
        <w:t>b.</w:t>
      </w:r>
      <w:r>
        <w:rP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205FDBAD" w14:textId="77777777" w:rsidR="008215DC" w:rsidRDefault="00000000">
      <w:pPr>
        <w:pStyle w:val="Example"/>
      </w:pPr>
      <w:r>
        <w:rPr/>
        <w:tab/>
      </w:r>
      <w:r>
        <w:rPr/>
        <w:tab/>
        <w:t>she peel-PERF lychee</w:t>
      </w:r>
    </w:p>
    <w:p w14:paraId="187B41FC" w14:textId="77777777" w:rsidR="008215DC" w:rsidRDefault="00000000">
      <w:pPr>
        <w:pStyle w:val="ExampleLast"/>
      </w:pPr>
      <w:r>
        <w:rPr/>
        <w:tab/>
      </w:r>
      <w:r>
        <w:rPr/>
        <w:tab/>
        <w:t>“She peeled the lychee.”</w:t>
      </w:r>
    </w:p>
    <w:p w14:paraId="4B9F149F" w14:textId="77777777" w:rsidR="008215DC" w:rsidRDefault="00000000">
      <w:pPr/>
      <w:r>
        <w:rPr/>
        <w:t xml:space="preserve">For many Mandarin monomorphemic verbs, the result is not entailed. Tai (1984) observed that </w:t>
      </w:r>
      <w:proofErr w:type="spellStart"/>
      <w:r>
        <w:rPr>
          <w:i/>
          <w:iCs/>
        </w:rPr>
        <w:t>shā</w:t>
      </w:r>
      <w:proofErr w:type="spellEnd"/>
      <w:r>
        <w:rPr/>
        <w:t xml:space="preserve"> “kill” can be used of an event in which the victim did not die, whereas the corresponding RVC </w:t>
      </w:r>
      <w:proofErr w:type="spellStart"/>
      <w:r>
        <w:rPr>
          <w:i/>
          <w:iCs/>
        </w:rPr>
        <w:t>shā-sǐ</w:t>
      </w:r>
      <w:proofErr w:type="spellEnd"/>
      <w:r>
        <w:rPr/>
        <w:t xml:space="preserve"> “kill-dead” cannot, and </w:t>
      </w:r>
      <w:proofErr w:type="spellStart"/>
      <w:r>
        <w:rPr/>
        <w:t>Talmy</w:t>
      </w:r>
      <w:proofErr w:type="spellEnd"/>
      <w:r>
        <w:rP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w:t>
      </w:r>
      <w:proofErr w:type="gramStart"/>
      <w:r>
        <w:rPr/>
        <w:lastRenderedPageBreak/>
        <w:t>nevertheless</w:t>
      </w:r>
      <w:proofErr w:type="gramEnd"/>
      <w:r>
        <w:rPr/>
        <w:t xml:space="preserve"> infer that the result was attained, that is, that the event </w:t>
      </w:r>
      <w:r>
        <w:rPr>
          <w:i/>
          <w:iCs/>
        </w:rPr>
        <w:t>culminated</w:t>
      </w:r>
      <w:r>
        <w:rPr/>
        <w:t>. Because this culmination inference is not entailed, it can be cancelled by further information (J. Liu et al., 2026).</w:t>
      </w:r>
      <w:r>
        <w:rPr>
          <w:rStyle w:val="FootnoteReference"/>
        </w:rPr>
        <w:footnoteReference w:id="1"/>
      </w:r>
      <w:r>
        <w:rPr/>
        <w:t xml:space="preserve"> RVCs and their V1s therefore differ in whether the result is entailed or only inferred, and this difference becomes observable when an action is performed but its result is not attained.</w:t>
      </w:r>
    </w:p>
    <w:p w14:paraId="30E6FAD1" w14:textId="77777777" w:rsidR="008215DC" w:rsidRDefault="00000000">
      <w:pPr>
        <w:pStyle w:val="ExampleFirst"/>
      </w:pPr>
      <w:r>
        <w:rPr/>
        <w:t>(2)</w:t>
      </w:r>
      <w:r>
        <w:rPr/>
        <w:tab/>
        <w:t>a.</w:t>
      </w:r>
      <w:r>
        <w:rP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283102B6" w14:textId="77777777" w:rsidR="008215DC" w:rsidRDefault="00000000">
      <w:pPr>
        <w:pStyle w:val="Example"/>
      </w:pPr>
      <w:r>
        <w:rPr/>
        <w:tab/>
      </w:r>
      <w:r>
        <w:rPr/>
        <w:tab/>
        <w:t>he fix-PERF computer but NEG fix-good</w:t>
      </w:r>
    </w:p>
    <w:p w14:paraId="7B41D156" w14:textId="77777777" w:rsidR="008215DC" w:rsidRDefault="00000000">
      <w:pPr>
        <w:pStyle w:val="Example"/>
      </w:pPr>
      <w:r>
        <w:rPr/>
        <w:tab/>
      </w:r>
      <w:r>
        <w:rPr/>
        <w:tab/>
        <w:t>“He fixed the computer, but it is still not working.”</w:t>
      </w:r>
    </w:p>
    <w:p w14:paraId="2708CC8D" w14:textId="77777777" w:rsidR="008215DC" w:rsidRDefault="00000000">
      <w:pPr>
        <w:pStyle w:val="Example"/>
      </w:pPr>
      <w:r>
        <w:rPr/>
        <w:tab/>
        <w:t>b.</w:t>
      </w:r>
      <w:r>
        <w:rP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179BFDE3" w14:textId="77777777" w:rsidR="008215DC" w:rsidRDefault="00000000">
      <w:pPr>
        <w:pStyle w:val="Example"/>
      </w:pPr>
      <w:r>
        <w:rPr/>
        <w:tab/>
      </w:r>
      <w:r>
        <w:rPr/>
        <w:tab/>
        <w:t>he fix-good-PERF computer but NEG fix-good</w:t>
      </w:r>
    </w:p>
    <w:p w14:paraId="5667BDF0" w14:textId="77777777" w:rsidR="008215DC" w:rsidRDefault="00000000">
      <w:pPr>
        <w:pStyle w:val="ExampleLast"/>
      </w:pPr>
      <w:r>
        <w:rPr/>
        <w:tab/>
      </w:r>
      <w:r>
        <w:rPr/>
        <w:tab/>
        <w:t>“#He fixed the computer so that it worked, but it is still not working.”</w:t>
      </w:r>
    </w:p>
    <w:p w14:paraId="64EE7D2C" w14:textId="77777777" w:rsidR="008215DC" w:rsidRDefault="00000000">
      <w:pPr/>
      <w:r>
        <w:rPr/>
        <w:t>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Whether a child accepts a V1 description of an unattained result may therefore depend on which V1 is used and on how the action it names is related to the result in question.</w:t>
      </w:r>
    </w:p>
    <w:p w14:paraId="2C44EAC9" w14:textId="576C424A" w:rsidR="008215DC" w:rsidRDefault="00000000">
      <w:pPr/>
      <w:r>
        <w:rPr/>
        <w:lastRenderedPageBreak/>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rPr/>
        <w:t>and it compares pairs of V1s that take the same object and combine with the same V2 but were selected to differ in how strongly the actions they denote are associated with that result</w:t>
      </w:r>
      <w:r>
        <w:rPr/>
        <w:t xml:space="preserve">. To verify and characterize this difference, adults rated each V1–object expression for </w:t>
      </w:r>
      <w:r>
        <w:rPr>
          <w:i/>
          <w:iCs/>
        </w:rPr>
        <w:t>result likelihood</w:t>
      </w:r>
      <w:r>
        <w:rPr/>
        <w:t xml:space="preserve">, how likely the target result is to follow the action, and </w:t>
      </w:r>
      <w:r>
        <w:rPr>
          <w:i/>
          <w:iCs/>
        </w:rPr>
        <w:t>action typicality</w:t>
      </w:r>
      <w:r>
        <w:rPr/>
        <w:t>, how typical the action is as a means of achieving that result. We first review what constrains the combination of V1 and V2 in RVCs, then explain why existing classifications of monomorphemic V1s leave the relation between a</w:t>
      </w:r>
      <w:r w:rsidR="009B1284">
        <w:rPr/>
        <w:t xml:space="preserve">n action </w:t>
      </w:r>
      <w:r>
        <w:rPr/>
        <w:t>and a particular result underspecified and how the present study characterizes it. We then review children’s comprehension and production of RVCs and V1s and present the research questions and predictions.</w:t>
      </w:r>
    </w:p>
    <w:p w14:paraId="6AEFE6C7" w14:textId="77777777" w:rsidR="008215DC" w:rsidRDefault="00000000">
      <w:pPr>
        <w:pStyle w:val="Heading2"/>
      </w:pPr>
      <w:r>
        <w:rPr/>
        <w:t>V1–V2 Combination in Mandarin RVCs</w:t>
      </w:r>
    </w:p>
    <w:p w14:paraId="7F471628" w14:textId="77777777" w:rsidR="00197B71" w:rsidRDefault="00000000" w:rsidP="00197B71">
      <w:pPr/>
      <w:r>
        <w:rPr/>
        <w:t>Prior work on RVCs bears on two properties of V1 that are relevant here: which V1s can enter RVCs and what constrains their combination with V2.</w:t>
      </w:r>
    </w:p>
    <w:p w14:paraId="2F16CA1E" w14:textId="65761D18" w:rsidR="00197B71" w:rsidRPr="00197B71" w:rsidRDefault="00197B71" w:rsidP="00197B71">
      <w:pPr>
        <w:rPr>
          <w:rFonts w:eastAsia="Times New Roman"/>
        </w:rPr>
      </w:pPr>
      <w:r w:rsidRPr="00197B71">
        <w:rPr/>
        <w:t xml:space="preserve">First, the V1 of an RVC is not restricted to transitive activity verbs. Huang (2006), for example, </w:t>
      </w:r>
      <w:proofErr w:type="spellStart"/>
      <w:r w:rsidRPr="00197B71">
        <w:rPr/>
        <w:t>analyzes</w:t>
      </w:r>
      <w:proofErr w:type="spellEnd"/>
      <w:r w:rsidRPr="00197B71">
        <w:rPr/>
        <w:t xml:space="preserve"> resultatives with unergative V1s, in which V2 may predicate a result of the subject or of an object that V1 does not itself select (e.g., </w:t>
      </w:r>
      <w:proofErr w:type="spellStart"/>
      <w:r w:rsidRPr="00197B71">
        <w:rPr/>
        <w:t>kū-shī</w:t>
      </w:r>
      <w:proofErr w:type="spellEnd"/>
      <w:r w:rsidRPr="00197B71">
        <w:rPr/>
        <w:t xml:space="preserve"> </w:t>
      </w:r>
      <w:proofErr w:type="spellStart"/>
      <w:r w:rsidRPr="00197B71">
        <w:rPr/>
        <w:t>shǒupà</w:t>
      </w:r>
      <w:proofErr w:type="spellEnd"/>
      <w:r w:rsidRPr="00197B71">
        <w:rPr/>
        <w:t xml:space="preserve"> “cry-wet handkerchief”). RVCs thus vary in which participant undergoes the result and in whether that participant is an argument of V1. The present study is restricted to agentive transitive RVCs in which V1 selects the object and V2 predicates a resulting state of that object, so that across materials the same participant is acted on by V1 and undergoes the result expressed by V2.</w:t>
      </w:r>
    </w:p>
    <w:p w14:paraId="7CE2150F" w14:textId="18549C05" w:rsidR="008215DC" w:rsidRDefault="00EA6370">
      <w:pPr/>
      <w:r w:rsidRPr="00EA6370">
        <w:rPr/>
        <w:lastRenderedPageBreak/>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rPr/>
        <w:t>analyzes</w:t>
      </w:r>
      <w:proofErr w:type="spellEnd"/>
      <w:r w:rsidRPr="00EA6370">
        <w:rPr/>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t>tī</w:t>
      </w:r>
      <w:proofErr w:type="spellEnd"/>
      <w:r w:rsidRPr="00EA6370">
        <w:rPr/>
        <w:t xml:space="preserve"> “kick” forms both </w:t>
      </w:r>
      <w:proofErr w:type="spellStart"/>
      <w:r w:rsidRPr="00EA6370">
        <w:rPr/>
        <w:t>tī-dǎo</w:t>
      </w:r>
      <w:proofErr w:type="spellEnd"/>
      <w:r w:rsidRPr="00EA6370">
        <w:rPr/>
        <w:t xml:space="preserve"> “kick-fallen” and </w:t>
      </w:r>
      <w:proofErr w:type="spellStart"/>
      <w:r w:rsidRPr="00EA6370">
        <w:rPr/>
        <w:t>tī-kāi</w:t>
      </w:r>
      <w:proofErr w:type="spellEnd"/>
      <w:r w:rsidRPr="00EA6370">
        <w:rPr/>
        <w:t xml:space="preserve"> “kick-open,” and </w:t>
      </w:r>
      <w:proofErr w:type="spellStart"/>
      <w:r w:rsidRPr="00EA6370">
        <w:rPr/>
        <w:t>miè</w:t>
      </w:r>
      <w:proofErr w:type="spellEnd"/>
      <w:r w:rsidRPr="00EA6370">
        <w:rPr/>
        <w:t xml:space="preserve"> “extinguished” follows both </w:t>
      </w:r>
      <w:proofErr w:type="spellStart"/>
      <w:r w:rsidRPr="00EA6370">
        <w:rPr/>
        <w:t>chuī</w:t>
      </w:r>
      <w:proofErr w:type="spellEnd"/>
      <w:r w:rsidRPr="00EA6370">
        <w:rPr/>
        <w:t xml:space="preserve"> “blow” and </w:t>
      </w:r>
      <w:proofErr w:type="spellStart"/>
      <w:r w:rsidRPr="00EA6370">
        <w:rPr/>
        <w:t>pū</w:t>
      </w:r>
      <w:proofErr w:type="spellEnd"/>
      <w:r w:rsidRPr="00EA6370">
        <w:rPr/>
        <w:t xml:space="preserve"> “beat.” These combinations are not equally conventional, however, and existing accounts do not specify what makes the action named by a given V1 a </w:t>
      </w:r>
      <w:proofErr w:type="gramStart"/>
      <w:r w:rsidRPr="00EA6370">
        <w:rPr/>
        <w:t>more or less natural</w:t>
      </w:r>
      <w:proofErr w:type="gramEnd"/>
      <w:r w:rsidRPr="00EA6370">
        <w:rPr/>
        <w:t xml:space="preserve"> means of bringing about a given result. The next section addresses this relation.</w:t>
      </w:r>
    </w:p>
    <w:p w14:paraId="51D9FD59" w14:textId="77777777" w:rsidR="008215DC" w:rsidRDefault="00000000">
      <w:pPr>
        <w:pStyle w:val="Heading2"/>
      </w:pPr>
      <w:r>
        <w:rPr/>
        <w:t>Monomorphemic V1s: Classification and Action–Result Association</w:t>
      </w:r>
    </w:p>
    <w:p w14:paraId="32D917E6" w14:textId="5E3FD7E7" w:rsidR="008215DC" w:rsidRDefault="00000000">
      <w:pPr/>
      <w:r>
        <w:rPr/>
        <w:t xml:space="preserve">What a V1 conveys about a result on its own has been characterized in ways that do not align. Mandarin monomorphemic verbs such as </w:t>
      </w:r>
      <w:proofErr w:type="spellStart"/>
      <w:r>
        <w:rPr>
          <w:i/>
          <w:iCs/>
        </w:rPr>
        <w:t>shā</w:t>
      </w:r>
      <w:proofErr w:type="spellEnd"/>
      <w:r>
        <w:rPr/>
        <w:t xml:space="preserve"> “kill” and </w:t>
      </w:r>
      <w:proofErr w:type="spellStart"/>
      <w:r>
        <w:rPr>
          <w:i/>
          <w:iCs/>
        </w:rPr>
        <w:t>guān</w:t>
      </w:r>
      <w:proofErr w:type="spellEnd"/>
      <w:r>
        <w:rPr/>
        <w:t xml:space="preserve"> “close” have been </w:t>
      </w:r>
      <w:proofErr w:type="spellStart"/>
      <w:r>
        <w:rPr/>
        <w:t>analyzed</w:t>
      </w:r>
      <w:proofErr w:type="spellEnd"/>
      <w:r>
        <w:rPr/>
        <w:t xml:space="preserve"> as activity verbs that do not encode the result (Tai, 1984), as implied-</w:t>
      </w:r>
      <w:proofErr w:type="spellStart"/>
      <w:r>
        <w:rPr/>
        <w:t>fulfillment</w:t>
      </w:r>
      <w:proofErr w:type="spellEnd"/>
      <w:r>
        <w:rPr/>
        <w:t xml:space="preserve"> verbs whose result is implicated but cancellable (</w:t>
      </w:r>
      <w:proofErr w:type="spellStart"/>
      <w:r>
        <w:rPr/>
        <w:t>Talmy</w:t>
      </w:r>
      <w:proofErr w:type="spellEnd"/>
      <w:r>
        <w:rPr/>
        <w:t xml:space="preserve">, 1991, 2000), and as causative verbs that nevertheless allow zero-change </w:t>
      </w:r>
      <w:proofErr w:type="spellStart"/>
      <w:r>
        <w:rPr/>
        <w:t>construals</w:t>
      </w:r>
      <w:proofErr w:type="spellEnd"/>
      <w:r>
        <w:rPr/>
        <w:t xml:space="preserve"> (Martin et al., 2023). Kou and Hohenstein (2022) distinguish four </w:t>
      </w:r>
      <w:proofErr w:type="spellStart"/>
      <w:r>
        <w:rPr/>
        <w:t>fulfillment</w:t>
      </w:r>
      <w:proofErr w:type="spellEnd"/>
      <w:r>
        <w:rPr/>
        <w:t xml:space="preserve"> types, from verbs that leave the result unspecified to verbs that entail </w:t>
      </w:r>
      <w:proofErr w:type="gramStart"/>
      <w:r>
        <w:rPr/>
        <w:t>it, and</w:t>
      </w:r>
      <w:proofErr w:type="gramEnd"/>
      <w:r>
        <w:rPr/>
        <w:t xml:space="preserve"> propose diagnostics for assigning English and Mandarin verbs to them. Monomorphemic verbs have also been divided into strong and weak types according to their compatibility with preverbal time-span adverbials (Martin et al., 2023).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rPr/>
        <w:t xml:space="preserve"> “several </w:t>
      </w:r>
      <w:r>
        <w:rPr/>
        <w:lastRenderedPageBreak/>
        <w:t>times.” These accounts differ in their criteria and in where they draw boundaries, but they share one feature: Result strength is treated as a property of the verb.</w:t>
      </w:r>
    </w:p>
    <w:p w14:paraId="4D76A0DB" w14:textId="77777777" w:rsidR="008215DC" w:rsidRDefault="00000000">
      <w:pPr/>
      <w:r>
        <w:rPr/>
        <w:t xml:space="preserve">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 plausibly a reliable way of knocking over a bottle but a less reliable way of opening a door. Work on sentence processing likewise shows that </w:t>
      </w:r>
      <w:proofErr w:type="spellStart"/>
      <w:r>
        <w:rPr/>
        <w:t>comprehenders</w:t>
      </w:r>
      <w:proofErr w:type="spellEnd"/>
      <w:r>
        <w:rPr/>
        <w:t>’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5B05C447" w14:textId="77777777" w:rsidR="008215DC" w:rsidRDefault="00000000">
      <w:pPr/>
      <w:r>
        <w:rPr/>
        <w:t xml:space="preserve">We refer to the relation between the action named by a V1 and a target result as </w:t>
      </w:r>
      <w:r>
        <w:rPr>
          <w:i/>
        </w:rPr>
        <w:t>action–result association</w:t>
      </w:r>
      <w:r>
        <w:rP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rPr/>
        <w:t xml:space="preserve">, how likely the target result is to follow the action, and </w:t>
      </w:r>
      <w:r>
        <w:rPr>
          <w:i/>
        </w:rPr>
        <w:t>action typicality</w:t>
      </w:r>
      <w:r>
        <w:rPr/>
        <w:t>, how typical the action is as a means of achieving that result. The two ratings approach the relation from the action and from the result, respectively: Blowing on a candle, for example, is both likely to put it out and a typical way of doing so, whereas waving at it is neither.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4CCB6FEA" w14:textId="6244A499" w:rsidR="00DF4AE6" w:rsidRPr="00DF4AE6" w:rsidRDefault="00000000" w:rsidP="00DF4AE6">
      <w:pPr>
        <w:pStyle w:val="Heading2"/>
        <w:rPr>
          <w:rFonts w:hint="eastAsia"/>
        </w:rPr>
      </w:pPr>
      <w:r>
        <w:rPr/>
        <w:t>Children’s Comprehension of RVCs and V1s</w:t>
      </w:r>
    </w:p>
    <w:p w14:paraId="6726922E" w14:textId="7E6B738B" w:rsidR="00DF4AE6" w:rsidRPr="00DF4AE6" w:rsidRDefault="00DF4AE6" w:rsidP="00DF4AE6">
      <w:pPr>
        <w:rPr>
          <w:rFonts w:hint="eastAsia"/>
        </w:rPr>
      </w:pPr>
      <w:r w:rsidRPr="00DF4AE6">
        <w:rPr/>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children show early sensitivity to the association between the perfective marker </w:t>
      </w:r>
      <w:r w:rsidRPr="00DF4AE6">
        <w:rPr>
          <w:i/>
          <w:iCs/>
        </w:rPr>
        <w:t>-le</w:t>
      </w:r>
      <w:r w:rsidRPr="00DF4AE6">
        <w:rPr/>
        <w:t xml:space="preserve"> and telic verbs (Li &amp; Bowerman, 1998).</w:t>
      </w:r>
    </w:p>
    <w:p w14:paraId="49E43DB9" w14:textId="7B3CA643" w:rsidR="00DF4AE6" w:rsidRPr="00DF4AE6" w:rsidRDefault="00DF4AE6" w:rsidP="00DF4AE6">
      <w:pPr>
        <w:rPr>
          <w:rFonts w:hint="eastAsia"/>
        </w:rPr>
      </w:pPr>
      <w:r w:rsidRPr="00DF4AE6">
        <w:rPr/>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6B5F3CDE" w14:textId="77777777" w:rsidR="00C37B3C" w:rsidRDefault="00DF4AE6" w:rsidP="00C37B3C">
      <w:pPr/>
      <w:r w:rsidRPr="00DF4AE6">
        <w:rPr/>
        <w:t>For V1s, development is slower. In Chen’s (2017) study, adults always accepted a V1 when the action was performed without the result, but children in all age groups, including 6-year-olds, often rejected it, as if the V1, like the RVC, entailed the result.</w:t>
      </w:r>
      <w:r w:rsidRPr="00DF4AE6">
        <w:rPr/>
        <w:t xml:space="preserve"> J. Liu et al. (2026) likewise found that 5-year-olds rejected monomorphemic causative verbs in such events more often than adults did, although the adverbial </w:t>
      </w:r>
      <w:proofErr w:type="spellStart"/>
      <w:r w:rsidRPr="00DF4AE6">
        <w:rPr/>
        <w:t>hǎojǐcì</w:t>
      </w:r>
      <w:proofErr w:type="spellEnd"/>
      <w:r w:rsidRPr="00DF4AE6">
        <w:rPr/>
        <w:t xml:space="preserve"> “several times” increased acceptance in all age groups. Children’s rejections also varied</w:t>
      </w:r>
      <w:r w:rsidRPr="00DF4AE6">
        <w:rPr/>
        <w:t xml:space="preserve"> across verbs. In Chen’s (2017) study, </w:t>
      </w:r>
      <w:proofErr w:type="spellStart"/>
      <w:r w:rsidRPr="00DF4AE6">
        <w:rPr/>
        <w:t>guān</w:t>
      </w:r>
      <w:proofErr w:type="spellEnd"/>
      <w:r w:rsidRPr="00DF4AE6">
        <w:rPr/>
        <w:t xml:space="preserve"> “close” and </w:t>
      </w:r>
      <w:proofErr w:type="spellStart"/>
      <w:r w:rsidRPr="00DF4AE6">
        <w:rPr/>
        <w:t>zhāi</w:t>
      </w:r>
      <w:proofErr w:type="spellEnd"/>
      <w:r w:rsidRPr="00DF4AE6">
        <w:rPr/>
        <w:t xml:space="preserve"> “pick” were accepted less often than the six other V1s tested, and in an adult rating study reported in the same paper, these two verbs were also the least acceptable with a clause </w:t>
      </w:r>
      <w:r w:rsidRPr="00DF4AE6">
        <w:rPr/>
        <w:lastRenderedPageBreak/>
        <w:t>cancelling the result. Chen attributed children’s verb differences to sensitivity to the strength of the state-change implicature.</w:t>
      </w:r>
    </w:p>
    <w:p w14:paraId="07DC6774" w14:textId="2A50732D" w:rsidR="00C37B3C" w:rsidRPr="00C37B3C" w:rsidRDefault="00C37B3C" w:rsidP="00C37B3C">
      <w:pPr/>
      <w:r w:rsidRPr="00C37B3C">
        <w:rPr/>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t>hǎojǐcì</w:t>
      </w:r>
      <w:proofErr w:type="spellEnd"/>
      <w:r w:rsidRPr="00C37B3C">
        <w:rPr/>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49600AF3" w14:textId="47BECA49" w:rsidR="008215DC" w:rsidRDefault="00000000" w:rsidP="00DF4AE6">
      <w:pPr>
        <w:pStyle w:val="Heading2"/>
      </w:pPr>
      <w:r>
        <w:rPr/>
        <w:t>Children’s Production of RVCs and V1s</w:t>
      </w:r>
    </w:p>
    <w:p w14:paraId="6FD9F624" w14:textId="517CD978" w:rsidR="005E64BA" w:rsidRPr="005E64BA" w:rsidRDefault="005E64BA" w:rsidP="005E64BA">
      <w:pPr>
        <w:rPr>
          <w:rFonts w:hint="eastAsia"/>
        </w:rPr>
      </w:pPr>
      <w:r w:rsidRPr="005E64BA">
        <w:rPr/>
        <w:t xml:space="preserve">Being able to form an RVC provides a resource for describing events but does not determine which information a speaker will express. Children produce RVCs from early on (Chen, 2008; Deng, 2019), although their command of RVC event structure develops gradually (Deng, 2019), </w:t>
      </w:r>
      <w:r w:rsidRPr="005E64BA">
        <w:rPr/>
        <w:lastRenderedPageBreak/>
        <w:t>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1D293903" w14:textId="77777777" w:rsidR="005E64BA" w:rsidRDefault="005E64BA" w:rsidP="005E64BA">
      <w:pPr/>
      <w:r w:rsidRPr="005E64BA">
        <w:rPr/>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rPr/>
        <w:t>in order to</w:t>
      </w:r>
      <w:proofErr w:type="gramEnd"/>
      <w:r w:rsidRPr="005E64BA">
        <w:rPr/>
        <w:t xml:space="preserve"> deny it, as in </w:t>
      </w:r>
      <w:proofErr w:type="spellStart"/>
      <w:r w:rsidRPr="005E64BA">
        <w:rPr/>
        <w:t>méi</w:t>
      </w:r>
      <w:proofErr w:type="spellEnd"/>
      <w:r w:rsidRPr="005E64BA">
        <w:rPr/>
        <w:t xml:space="preserve"> </w:t>
      </w:r>
      <w:proofErr w:type="spellStart"/>
      <w:r w:rsidRPr="005E64BA">
        <w:rPr/>
        <w:t>bāo-kāi</w:t>
      </w:r>
      <w:proofErr w:type="spellEnd"/>
      <w:r w:rsidRPr="005E64BA">
        <w:rPr/>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5B385975" w14:textId="730B8CE6" w:rsidR="008215DC" w:rsidRDefault="00000000" w:rsidP="005E64BA">
      <w:pPr>
        <w:pStyle w:val="Heading2"/>
      </w:pPr>
      <w:r>
        <w:rPr/>
        <w:t>The Present Study</w:t>
      </w:r>
    </w:p>
    <w:p w14:paraId="1BCCC0DD" w14:textId="5E69B8CB" w:rsidR="008215DC" w:rsidRDefault="00000000">
      <w:pPr/>
      <w:r>
        <w:rPr/>
        <w:t>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w:t>
      </w:r>
      <w:r>
        <w:rPr/>
        <w:t xml:space="preserve"> with the target result than the other (e.g., </w:t>
      </w:r>
      <w:proofErr w:type="spellStart"/>
      <w:r>
        <w:rPr>
          <w:i/>
          <w:iCs/>
        </w:rPr>
        <w:t>chuī</w:t>
      </w:r>
      <w:proofErr w:type="spellEnd"/>
      <w:r>
        <w:rPr/>
        <w:t xml:space="preserve"> “blow” vs. </w:t>
      </w:r>
      <w:proofErr w:type="spellStart"/>
      <w:r>
        <w:rPr>
          <w:i/>
          <w:iCs/>
        </w:rPr>
        <w:t>huī</w:t>
      </w:r>
      <w:proofErr w:type="spellEnd"/>
      <w:r>
        <w:rPr/>
        <w:t xml:space="preserve"> “wave” a candle, with the target result </w:t>
      </w:r>
      <w:proofErr w:type="spellStart"/>
      <w:r>
        <w:rPr>
          <w:i/>
          <w:iCs/>
        </w:rPr>
        <w:t>miè</w:t>
      </w:r>
      <w:proofErr w:type="spellEnd"/>
      <w:r>
        <w:rP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weaker-association V1s, form the materials for the analyses of Experiment 1. The two remaining pairs, in which the typicality difference was reversed or neither difference was reliable, are excluded from these analyses (see Method).</w:t>
      </w:r>
    </w:p>
    <w:p w14:paraId="190F8C38" w14:textId="77777777" w:rsidR="008215DC" w:rsidRDefault="00000000">
      <w:pPr/>
      <w:r>
        <w:rPr/>
        <w:t>Experiment 1 tests children’s interpretation of RVC and V1 descriptions in a yes–no judgment task, in which acceptance serves as the measure of interpretation. It asks two questions:</w:t>
      </w:r>
    </w:p>
    <w:p w14:paraId="2BC25A89" w14:textId="5D9996D0" w:rsidR="003B797C" w:rsidRPr="003B797C" w:rsidRDefault="00000000" w:rsidP="003B797C">
      <w:pPr>
        <w:pStyle w:val="ResearchQuestion"/>
        <w:rPr>
          <w:rFonts w:hint="eastAsia"/>
        </w:rPr>
      </w:pPr>
      <w:r>
        <w:rPr>
          <w:i/>
          <w:iCs/>
        </w:rPr>
        <w:t>RQ1.</w:t>
      </w:r>
      <w:r>
        <w:rP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62C9E089" w14:textId="77777777" w:rsidR="0055310B" w:rsidRDefault="00000000" w:rsidP="0055310B">
      <w:pPr>
        <w:pStyle w:val="ResearchQuestion"/>
      </w:pPr>
      <w:r>
        <w:rPr>
          <w:i/>
          <w:iCs/>
        </w:rPr>
        <w:t>RQ2.</w:t>
      </w:r>
      <w:r>
        <w:rPr/>
        <w:t xml:space="preserve"> </w:t>
      </w:r>
      <w:r w:rsidR="0055310B" w:rsidRPr="0055310B">
        <w:t>Within pairs matched for object and target result, do children interpret stronger- and weaker-association V1s differently, as indexed by whether acceptance of V1 descriptions differs between the two sets, particularly in zero-result events, and is this difference larger in children than in adults?</w:t>
      </w:r>
    </w:p>
    <w:p w14:paraId="0FCEE6EA" w14:textId="13313BA5" w:rsidR="0055310B" w:rsidRPr="0055310B" w:rsidRDefault="00000000" w:rsidP="0055310B">
      <w:pPr/>
      <w:r>
        <w:rPr/>
        <w:t xml:space="preserve">RVC descriptions are expected to be accepted for full-result and rejected for zero-result events, although children may accept some RVC descriptions of zero-result events (J. Liu et al., 2026). </w:t>
      </w:r>
      <w:r w:rsidR="0055310B" w:rsidRPr="0055310B">
        <w:rPr/>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w:t>
      </w:r>
      <w:r w:rsidR="0055310B" w:rsidRPr="0055310B">
        <w:rPr/>
        <w:lastRenderedPageBreak/>
        <w:t>association V1s are expected to be accepted less often than their weaker-association partners, with a smaller difference in full-result events. This difference is expected to be larger in children than in adults: Adults accept V1 descriptions of zero-result events at high rates (Chen, 2017), whereas children’s stricter judgments leave room for the association to matter.</w:t>
      </w:r>
    </w:p>
    <w:p w14:paraId="62C278A4" w14:textId="6BF47137" w:rsidR="00C3541B" w:rsidRPr="00C3541B" w:rsidRDefault="00C3541B" w:rsidP="00C3541B">
      <w:pPr>
        <w:rPr>
          <w:rFonts w:hint="eastAsia"/>
        </w:rPr>
      </w:pPr>
      <w:r w:rsidRPr="00C3541B">
        <w:rPr/>
        <w:t>Experiment 2 examines how children describe the same events in an open-ended video-description task. It asks one question:</w:t>
      </w:r>
    </w:p>
    <w:p w14:paraId="2FBD96E9" w14:textId="1BA82F3D" w:rsidR="00C3541B" w:rsidRPr="00C3541B" w:rsidRDefault="00C3541B" w:rsidP="00C3541B">
      <w:pPr>
        <w:pStyle w:val="ResearchQuestion"/>
        <w:rPr>
          <w:rFonts w:hint="eastAsia"/>
        </w:rPr>
      </w:pPr>
      <w:r w:rsidRPr="00C3541B">
        <w:rPr/>
        <w:t xml:space="preserve">RQ3. Does realization of the target result affect how children describe an event, as indexed by (a) whether they include an RVC and (b) among responses without an RVC, whether they express the action only, the target </w:t>
      </w:r>
      <w:proofErr w:type="gramStart"/>
      <w:r w:rsidRPr="00C3541B">
        <w:rPr/>
        <w:t>result</w:t>
      </w:r>
      <w:proofErr w:type="gramEnd"/>
      <w:r w:rsidRPr="00C3541B">
        <w:rPr/>
        <w:t xml:space="preserve"> only, or both in separate predicates?</w:t>
      </w:r>
    </w:p>
    <w:p w14:paraId="22F7BE4D" w14:textId="77777777" w:rsidR="00C3541B" w:rsidRDefault="00C3541B" w:rsidP="00C3541B">
      <w:pPr/>
      <w:r w:rsidRPr="00C3541B">
        <w:rPr/>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27CBC375" w14:textId="1E28EC23" w:rsidR="008215DC" w:rsidRDefault="00000000" w:rsidP="00C3541B">
      <w:pPr/>
      <w:r>
        <w:rP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pPr>
        <w:pStyle w:val="Heading1"/>
      </w:pPr>
      <w:r>
        <w:t>Materials</w:t>
      </w:r>
    </w:p>
    <w:p>
      <w:pPr/>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pPr>
        <w:pStyle w:val="Heading2"/>
      </w:pPr>
      <w:r>
        <w:t>Action Pairs and Videos</w:t>
      </w:r>
    </w:p>
    <w:p>
      <w:pPr/>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form two sets of 10: the expected stronger-association expressions and their expected weaker-association partners. The V1s were originally selected as Strong and Weak V1s with the preverbal time-span adverbial diagnostic (Martin et al., 2023).</w:t>
      </w:r>
      <w:r>
        <w:rPr>
          <w:highlight w:val="yellow"/>
        </w:rPr>
        <w:t>⟦待核：0507 稿称部分 V1 直接取自 Martin et al. (2020)；参考文献年份需统一⟧</w:t>
      </w:r>
      <w:r>
        <w:t xml:space="preserve"> In the present study, the two sets are characterized by the adult ratings described below rather than by this diagnostic.</w:t>
      </w:r>
    </w:p>
    <w:p>
      <w:pPr>
        <w:pStyle w:val="TableNumber"/>
      </w:pPr>
      <w:r>
        <w:t>Table 1</w:t>
      </w:r>
    </w:p>
    <w:p>
      <w:pPr>
        <w:pStyle w:val="TableTitle"/>
      </w:pPr>
      <w:r>
        <w:rPr>
          <w:i/>
        </w:rPr>
        <w:t>Action Pairs, Adult Ratings, and Corpus Frequency of the Corresponding RVCs</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360" w:type="dxa"/>
        <w:tblCellMar>
          <w:left w:w="58" w:type="dxa"/>
          <w:right w:w="58" w:type="dxa"/>
        </w:tblCellMar>
        <w:tblLayout w:type="fixed"/>
      </w:tblPr>
      <w:tblGrid>
        <w:gridCol w:w="503"/>
        <w:gridCol w:w="1152"/>
        <w:gridCol w:w="1368"/>
        <w:gridCol w:w="1080"/>
        <w:gridCol w:w="1368"/>
        <w:gridCol w:w="1368"/>
        <w:gridCol w:w="1296"/>
        <w:gridCol w:w="1224"/>
      </w:tblGrid>
      <w:tr>
        <w:trPr>
          <w:tblHeader w:val="true"/>
          <w:cantSplit/>
        </w:trPr>
        <w:tc>
          <w:tcPr>
            <w:tcW w:type="dxa" w:w="504"/>
            <w:tcBorders>
              <w:bottom w:val="single" w:sz="8" w:color="000000"/>
            </w:tcBorders>
          </w:tcPr>
          <w:p>
            <w:pPr>
              <w:pStyle w:val="TableText"/>
              <w:keepNext/>
              <w:jc w:val="left"/>
            </w:pPr>
            <w:r/>
            <w:r>
              <w:t>Pair</w:t>
            </w:r>
          </w:p>
        </w:tc>
        <w:tc>
          <w:tcPr>
            <w:tcW w:type="dxa" w:w="1152"/>
            <w:tcBorders>
              <w:bottom w:val="single" w:sz="8" w:color="000000"/>
            </w:tcBorders>
          </w:tcPr>
          <w:p>
            <w:pPr>
              <w:pStyle w:val="TableText"/>
              <w:keepNext/>
              <w:jc w:val="left"/>
            </w:pPr>
            <w:r/>
            <w:r>
              <w:t>Object</w:t>
            </w:r>
          </w:p>
        </w:tc>
        <w:tc>
          <w:tcPr>
            <w:tcW w:type="dxa" w:w="1368"/>
            <w:tcBorders>
              <w:bottom w:val="single" w:sz="8" w:color="000000"/>
            </w:tcBorders>
          </w:tcPr>
          <w:p>
            <w:pPr>
              <w:pStyle w:val="TableText"/>
              <w:keepNext/>
              <w:jc w:val="left"/>
            </w:pPr>
            <w:r/>
            <w:r>
              <w:t>Target result (V2)</w:t>
            </w:r>
          </w:p>
        </w:tc>
        <w:tc>
          <w:tcPr>
            <w:tcW w:type="dxa" w:w="1080"/>
            <w:tcBorders>
              <w:bottom w:val="single" w:sz="8" w:color="000000"/>
            </w:tcBorders>
          </w:tcPr>
          <w:p>
            <w:pPr>
              <w:pStyle w:val="TableText"/>
              <w:keepNext/>
              <w:jc w:val="left"/>
            </w:pPr>
            <w:r/>
            <w:r>
              <w:t>V1</w:t>
            </w:r>
          </w:p>
        </w:tc>
        <w:tc>
          <w:tcPr>
            <w:tcW w:type="dxa" w:w="1368"/>
            <w:tcBorders>
              <w:bottom w:val="single" w:sz="8" w:color="000000"/>
            </w:tcBorders>
          </w:tcPr>
          <w:p>
            <w:pPr>
              <w:pStyle w:val="TableText"/>
              <w:keepNext/>
              <w:jc w:val="left"/>
            </w:pPr>
            <w:r/>
            <w:r>
              <w:t>RVC</w:t>
            </w:r>
          </w:p>
        </w:tc>
        <w:tc>
          <w:tcPr>
            <w:tcW w:type="dxa" w:w="1368"/>
            <w:tcBorders>
              <w:bottom w:val="single" w:sz="8" w:color="000000"/>
            </w:tcBorders>
          </w:tcPr>
          <w:p>
            <w:pPr>
              <w:pStyle w:val="TableText"/>
              <w:keepNext/>
              <w:jc w:val="center"/>
            </w:pPr>
            <w:r/>
            <w:r>
              <w:t>Likelihood</w:t>
            </w:r>
            <w:r>
              <w:br/>
            </w:r>
            <w:r>
              <w:rPr>
                <w:i/>
              </w:rPr>
              <w:t>M</w:t>
            </w:r>
            <w:r>
              <w:t xml:space="preserve"> (</w:t>
            </w:r>
            <w:r>
              <w:rPr>
                <w:i/>
              </w:rPr>
              <w:t>SD</w:t>
            </w:r>
            <w:r>
              <w:t>)</w:t>
            </w:r>
          </w:p>
        </w:tc>
        <w:tc>
          <w:tcPr>
            <w:tcW w:type="dxa" w:w="1296"/>
            <w:tcBorders>
              <w:bottom w:val="single" w:sz="8" w:color="000000"/>
            </w:tcBorders>
          </w:tcPr>
          <w:p>
            <w:pPr>
              <w:pStyle w:val="TableText"/>
              <w:keepNext/>
              <w:jc w:val="center"/>
            </w:pPr>
            <w:r/>
            <w:r>
              <w:t>Typicality</w:t>
            </w:r>
            <w:r>
              <w:br/>
            </w:r>
            <w:r>
              <w:rPr>
                <w:i/>
              </w:rPr>
              <w:t>M</w:t>
            </w:r>
            <w:r>
              <w:t xml:space="preserve"> (</w:t>
            </w:r>
            <w:r>
              <w:rPr>
                <w:i/>
              </w:rPr>
              <w:t>SD</w:t>
            </w:r>
            <w:r>
              <w:t>)</w:t>
            </w:r>
          </w:p>
        </w:tc>
        <w:tc>
          <w:tcPr>
            <w:tcW w:type="dxa" w:w="1224"/>
            <w:tcBorders>
              <w:bottom w:val="single" w:sz="8" w:color="000000"/>
            </w:tcBorders>
          </w:tcPr>
          <w:p>
            <w:pPr>
              <w:pStyle w:val="TableText"/>
              <w:keepNext/>
              <w:jc w:val="center"/>
            </w:pPr>
            <w:r/>
            <w:r>
              <w:t>CCL</w:t>
            </w:r>
            <w:r>
              <w:br/>
            </w:r>
            <w:r>
              <w:t>documents</w:t>
            </w:r>
          </w:p>
        </w:tc>
      </w:tr>
      <w:tr>
        <w:trPr>
          <w:cantSplit/>
        </w:trPr>
        <w:tc>
          <w:tcPr>
            <w:tcW w:type="dxa" w:w="504"/>
            <w:vMerge w:val="restart"/>
          </w:tcPr>
          <w:p>
            <w:pPr>
              <w:pStyle w:val="TableText"/>
              <w:keepNext/>
              <w:jc w:val="left"/>
            </w:pPr>
            <w:r/>
            <w:r>
              <w:t>1</w:t>
            </w:r>
          </w:p>
        </w:tc>
        <w:tc>
          <w:tcPr>
            <w:tcW w:type="dxa" w:w="1152"/>
            <w:vMerge w:val="restart"/>
          </w:tcPr>
          <w:p>
            <w:pPr>
              <w:pStyle w:val="TableText"/>
              <w:keepNext/>
              <w:jc w:val="left"/>
            </w:pPr>
            <w:r/>
            <w:r>
              <w:rPr>
                <w:i/>
              </w:rPr>
              <w:t>lìzhī</w:t>
            </w:r>
            <w:r>
              <w:br/>
            </w:r>
            <w:r>
              <w:t>“lychee”</w:t>
            </w:r>
          </w:p>
        </w:tc>
        <w:tc>
          <w:tcPr>
            <w:tcW w:type="dxa" w:w="1368"/>
            <w:vMerge w:val="restart"/>
          </w:tcPr>
          <w:p>
            <w:pPr>
              <w:pStyle w:val="TableText"/>
              <w:keepNext/>
              <w:jc w:val="left"/>
            </w:pPr>
            <w:r/>
            <w:r>
              <w:rPr>
                <w:i/>
              </w:rPr>
              <w:t>kāi</w:t>
            </w:r>
            <w:r>
              <w:br/>
            </w:r>
            <w:r>
              <w:t>“open”</w:t>
            </w:r>
          </w:p>
        </w:tc>
        <w:tc>
          <w:tcPr>
            <w:tcW w:type="dxa" w:w="1080"/>
          </w:tcPr>
          <w:p>
            <w:pPr>
              <w:pStyle w:val="TableText"/>
              <w:keepNext/>
              <w:jc w:val="left"/>
            </w:pPr>
            <w:r/>
            <w:r>
              <w:rPr>
                <w:i/>
              </w:rPr>
              <w:t>bāo</w:t>
            </w:r>
            <w:r>
              <w:br/>
            </w:r>
            <w:r>
              <w:t>“peel”</w:t>
            </w:r>
          </w:p>
        </w:tc>
        <w:tc>
          <w:tcPr>
            <w:tcW w:type="dxa" w:w="1368"/>
          </w:tcPr>
          <w:p>
            <w:pPr>
              <w:pStyle w:val="TableText"/>
              <w:keepNext/>
              <w:jc w:val="left"/>
            </w:pPr>
            <w:r/>
            <w:r>
              <w:rPr>
                <w:i/>
              </w:rPr>
              <w:t>bāo-kāi</w:t>
            </w:r>
          </w:p>
        </w:tc>
        <w:tc>
          <w:tcPr>
            <w:tcW w:type="dxa" w:w="1368"/>
          </w:tcPr>
          <w:p>
            <w:pPr>
              <w:pStyle w:val="TableText"/>
              <w:keepNext/>
              <w:jc w:val="center"/>
            </w:pPr>
            <w:r/>
            <w:r>
              <w:t>93.40 (12.50)</w:t>
            </w:r>
          </w:p>
        </w:tc>
        <w:tc>
          <w:tcPr>
            <w:tcW w:type="dxa" w:w="1296"/>
          </w:tcPr>
          <w:p>
            <w:pPr>
              <w:pStyle w:val="TableText"/>
              <w:keepNext/>
              <w:jc w:val="center"/>
            </w:pPr>
            <w:r/>
            <w:r>
              <w:t>6.65 (0.81)</w:t>
            </w:r>
          </w:p>
        </w:tc>
        <w:tc>
          <w:tcPr>
            <w:tcW w:type="dxa" w:w="1224"/>
          </w:tcPr>
          <w:p>
            <w:pPr>
              <w:pStyle w:val="TableText"/>
              <w:keepNext/>
              <w:jc w:val="center"/>
            </w:pPr>
            <w:r/>
            <w:r>
              <w:t>1,700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niē</w:t>
            </w:r>
            <w:r>
              <w:br/>
            </w:r>
            <w:r>
              <w:t>“squeeze”</w:t>
            </w:r>
          </w:p>
        </w:tc>
        <w:tc>
          <w:tcPr>
            <w:tcW w:type="dxa" w:w="1368"/>
          </w:tcPr>
          <w:p>
            <w:pPr>
              <w:pStyle w:val="TableText"/>
              <w:keepNext/>
              <w:jc w:val="left"/>
            </w:pPr>
            <w:r/>
            <w:r>
              <w:rPr>
                <w:i/>
              </w:rPr>
              <w:t>niē-kāi</w:t>
            </w:r>
          </w:p>
        </w:tc>
        <w:tc>
          <w:tcPr>
            <w:tcW w:type="dxa" w:w="1368"/>
          </w:tcPr>
          <w:p>
            <w:pPr>
              <w:pStyle w:val="TableText"/>
              <w:keepNext/>
              <w:jc w:val="center"/>
            </w:pPr>
            <w:r/>
            <w:r>
              <w:t>64.50 (26.97)</w:t>
            </w:r>
          </w:p>
        </w:tc>
        <w:tc>
          <w:tcPr>
            <w:tcW w:type="dxa" w:w="1296"/>
          </w:tcPr>
          <w:p>
            <w:pPr>
              <w:pStyle w:val="TableText"/>
              <w:keepNext/>
              <w:jc w:val="center"/>
            </w:pPr>
            <w:r/>
            <w:r>
              <w:t>3.40 (1.60)</w:t>
            </w:r>
          </w:p>
        </w:tc>
        <w:tc>
          <w:tcPr>
            <w:tcW w:type="dxa" w:w="1224"/>
          </w:tcPr>
          <w:p>
            <w:pPr>
              <w:pStyle w:val="TableText"/>
              <w:keepNext/>
              <w:jc w:val="center"/>
            </w:pPr>
            <w:r/>
            <w:r>
              <w:t>28</w:t>
            </w:r>
          </w:p>
        </w:tc>
      </w:tr>
      <w:tr>
        <w:trPr>
          <w:cantSplit/>
        </w:trPr>
        <w:tc>
          <w:tcPr>
            <w:tcW w:type="dxa" w:w="504"/>
            <w:vMerge w:val="restart"/>
          </w:tcPr>
          <w:p>
            <w:pPr>
              <w:pStyle w:val="TableText"/>
              <w:keepNext/>
              <w:jc w:val="left"/>
            </w:pPr>
            <w:r/>
            <w:r>
              <w:t>2</w:t>
            </w:r>
          </w:p>
        </w:tc>
        <w:tc>
          <w:tcPr>
            <w:tcW w:type="dxa" w:w="1152"/>
            <w:vMerge w:val="restart"/>
          </w:tcPr>
          <w:p>
            <w:pPr>
              <w:pStyle w:val="TableText"/>
              <w:keepNext/>
              <w:jc w:val="left"/>
            </w:pPr>
            <w:r/>
            <w:r>
              <w:rPr>
                <w:i/>
              </w:rPr>
              <w:t>dèngzi</w:t>
            </w:r>
            <w:r>
              <w:br/>
            </w:r>
            <w:r>
              <w:t>“stool”</w:t>
            </w:r>
          </w:p>
        </w:tc>
        <w:tc>
          <w:tcPr>
            <w:tcW w:type="dxa" w:w="1368"/>
            <w:vMerge w:val="restart"/>
          </w:tcPr>
          <w:p>
            <w:pPr>
              <w:pStyle w:val="TableText"/>
              <w:keepNext/>
              <w:jc w:val="left"/>
            </w:pPr>
            <w:r/>
            <w:r>
              <w:rPr>
                <w:i/>
              </w:rPr>
              <w:t>fān</w:t>
            </w:r>
            <w:r>
              <w:br/>
            </w:r>
            <w:r>
              <w:t>“overturned”</w:t>
            </w:r>
          </w:p>
        </w:tc>
        <w:tc>
          <w:tcPr>
            <w:tcW w:type="dxa" w:w="1080"/>
          </w:tcPr>
          <w:p>
            <w:pPr>
              <w:pStyle w:val="TableText"/>
              <w:keepNext/>
              <w:jc w:val="left"/>
            </w:pPr>
            <w:r/>
            <w:r>
              <w:rPr>
                <w:i/>
              </w:rPr>
              <w:t>xiān</w:t>
            </w:r>
            <w:r>
              <w:br/>
            </w:r>
            <w:r>
              <w:t>“flip”</w:t>
            </w:r>
          </w:p>
        </w:tc>
        <w:tc>
          <w:tcPr>
            <w:tcW w:type="dxa" w:w="1368"/>
          </w:tcPr>
          <w:p>
            <w:pPr>
              <w:pStyle w:val="TableText"/>
              <w:keepNext/>
              <w:jc w:val="left"/>
            </w:pPr>
            <w:r/>
            <w:r>
              <w:rPr>
                <w:i/>
              </w:rPr>
              <w:t>xiān-fān</w:t>
            </w:r>
          </w:p>
        </w:tc>
        <w:tc>
          <w:tcPr>
            <w:tcW w:type="dxa" w:w="1368"/>
          </w:tcPr>
          <w:p>
            <w:pPr>
              <w:pStyle w:val="TableText"/>
              <w:keepNext/>
              <w:jc w:val="center"/>
            </w:pPr>
            <w:r/>
            <w:r>
              <w:t>83.60 (21.36)</w:t>
            </w:r>
          </w:p>
        </w:tc>
        <w:tc>
          <w:tcPr>
            <w:tcW w:type="dxa" w:w="1296"/>
          </w:tcPr>
          <w:p>
            <w:pPr>
              <w:pStyle w:val="TableText"/>
              <w:keepNext/>
              <w:jc w:val="center"/>
            </w:pPr>
            <w:r/>
            <w:r>
              <w:t>6.40 (0.94)</w:t>
            </w:r>
          </w:p>
        </w:tc>
        <w:tc>
          <w:tcPr>
            <w:tcW w:type="dxa" w:w="1224"/>
          </w:tcPr>
          <w:p>
            <w:pPr>
              <w:pStyle w:val="TableText"/>
              <w:keepNext/>
              <w:jc w:val="center"/>
            </w:pPr>
            <w:r/>
            <w:r>
              <w:t>1,780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pāi</w:t>
            </w:r>
            <w:r>
              <w:br/>
            </w:r>
            <w:r>
              <w:t>“slap”</w:t>
            </w:r>
          </w:p>
        </w:tc>
        <w:tc>
          <w:tcPr>
            <w:tcW w:type="dxa" w:w="1368"/>
          </w:tcPr>
          <w:p>
            <w:pPr>
              <w:pStyle w:val="TableText"/>
              <w:keepNext/>
              <w:jc w:val="left"/>
            </w:pPr>
            <w:r/>
            <w:r>
              <w:rPr>
                <w:i/>
              </w:rPr>
              <w:t>pāi-fān</w:t>
            </w:r>
          </w:p>
        </w:tc>
        <w:tc>
          <w:tcPr>
            <w:tcW w:type="dxa" w:w="1368"/>
          </w:tcPr>
          <w:p>
            <w:pPr>
              <w:pStyle w:val="TableText"/>
              <w:keepNext/>
              <w:jc w:val="center"/>
            </w:pPr>
            <w:r/>
            <w:r>
              <w:t>15.70 (18.63)</w:t>
            </w:r>
          </w:p>
        </w:tc>
        <w:tc>
          <w:tcPr>
            <w:tcW w:type="dxa" w:w="1296"/>
          </w:tcPr>
          <w:p>
            <w:pPr>
              <w:pStyle w:val="TableText"/>
              <w:keepNext/>
              <w:jc w:val="center"/>
            </w:pPr>
            <w:r/>
            <w:r>
              <w:t>1.80 (0.89)</w:t>
            </w:r>
          </w:p>
        </w:tc>
        <w:tc>
          <w:tcPr>
            <w:tcW w:type="dxa" w:w="1224"/>
          </w:tcPr>
          <w:p>
            <w:pPr>
              <w:pStyle w:val="TableText"/>
              <w:keepNext/>
              <w:jc w:val="center"/>
            </w:pPr>
            <w:r/>
            <w:r>
              <w:t>13ᵈ</w:t>
            </w:r>
          </w:p>
        </w:tc>
      </w:tr>
      <w:tr>
        <w:trPr>
          <w:cantSplit/>
        </w:trPr>
        <w:tc>
          <w:tcPr>
            <w:tcW w:type="dxa" w:w="504"/>
            <w:vMerge w:val="restart"/>
          </w:tcPr>
          <w:p>
            <w:pPr>
              <w:pStyle w:val="TableText"/>
              <w:keepNext/>
              <w:jc w:val="left"/>
            </w:pPr>
            <w:r/>
            <w:r>
              <w:t>3</w:t>
            </w:r>
          </w:p>
        </w:tc>
        <w:tc>
          <w:tcPr>
            <w:tcW w:type="dxa" w:w="1152"/>
            <w:vMerge w:val="restart"/>
          </w:tcPr>
          <w:p>
            <w:pPr>
              <w:pStyle w:val="TableText"/>
              <w:keepNext/>
              <w:jc w:val="left"/>
            </w:pPr>
            <w:r/>
            <w:r>
              <w:rPr>
                <w:i/>
              </w:rPr>
              <w:t>shǒuzhǐ</w:t>
            </w:r>
            <w:r>
              <w:br/>
            </w:r>
            <w:r>
              <w:t>“finger”</w:t>
            </w:r>
          </w:p>
        </w:tc>
        <w:tc>
          <w:tcPr>
            <w:tcW w:type="dxa" w:w="1368"/>
            <w:vMerge w:val="restart"/>
          </w:tcPr>
          <w:p>
            <w:pPr>
              <w:pStyle w:val="TableText"/>
              <w:keepNext/>
              <w:jc w:val="left"/>
            </w:pPr>
            <w:r/>
            <w:r>
              <w:rPr>
                <w:i/>
              </w:rPr>
              <w:t>wān</w:t>
            </w:r>
            <w:r>
              <w:br/>
            </w:r>
            <w:r>
              <w:t>“bent”</w:t>
            </w:r>
          </w:p>
        </w:tc>
        <w:tc>
          <w:tcPr>
            <w:tcW w:type="dxa" w:w="1080"/>
          </w:tcPr>
          <w:p>
            <w:pPr>
              <w:pStyle w:val="TableText"/>
              <w:keepNext/>
              <w:jc w:val="left"/>
            </w:pPr>
            <w:r/>
            <w:r>
              <w:rPr>
                <w:i/>
              </w:rPr>
              <w:t>bāi</w:t>
            </w:r>
            <w:r>
              <w:br/>
            </w:r>
            <w:r>
              <w:t>“twist”</w:t>
            </w:r>
          </w:p>
        </w:tc>
        <w:tc>
          <w:tcPr>
            <w:tcW w:type="dxa" w:w="1368"/>
          </w:tcPr>
          <w:p>
            <w:pPr>
              <w:pStyle w:val="TableText"/>
              <w:keepNext/>
              <w:jc w:val="left"/>
            </w:pPr>
            <w:r/>
            <w:r>
              <w:rPr>
                <w:i/>
              </w:rPr>
              <w:t>bāi-wān</w:t>
            </w:r>
          </w:p>
        </w:tc>
        <w:tc>
          <w:tcPr>
            <w:tcW w:type="dxa" w:w="1368"/>
          </w:tcPr>
          <w:p>
            <w:pPr>
              <w:pStyle w:val="TableText"/>
              <w:keepNext/>
              <w:jc w:val="center"/>
            </w:pPr>
            <w:r/>
            <w:r>
              <w:t>63.20 (31.57)</w:t>
            </w:r>
          </w:p>
        </w:tc>
        <w:tc>
          <w:tcPr>
            <w:tcW w:type="dxa" w:w="1296"/>
          </w:tcPr>
          <w:p>
            <w:pPr>
              <w:pStyle w:val="TableText"/>
              <w:keepNext/>
              <w:jc w:val="center"/>
            </w:pPr>
            <w:r/>
            <w:r>
              <w:t>5.95 (1.05)</w:t>
            </w:r>
          </w:p>
        </w:tc>
        <w:tc>
          <w:tcPr>
            <w:tcW w:type="dxa" w:w="1224"/>
          </w:tcPr>
          <w:p>
            <w:pPr>
              <w:pStyle w:val="TableText"/>
              <w:keepNext/>
              <w:jc w:val="center"/>
            </w:pPr>
            <w:r/>
            <w:r>
              <w:t>130ᵇ</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àn</w:t>
            </w:r>
            <w:r>
              <w:br/>
            </w:r>
            <w:r>
              <w:t>“press”</w:t>
            </w:r>
          </w:p>
        </w:tc>
        <w:tc>
          <w:tcPr>
            <w:tcW w:type="dxa" w:w="1368"/>
          </w:tcPr>
          <w:p>
            <w:pPr>
              <w:pStyle w:val="TableText"/>
              <w:keepNext/>
              <w:jc w:val="left"/>
            </w:pPr>
            <w:r/>
            <w:r>
              <w:rPr>
                <w:i/>
              </w:rPr>
              <w:t>àn-wān</w:t>
            </w:r>
          </w:p>
        </w:tc>
        <w:tc>
          <w:tcPr>
            <w:tcW w:type="dxa" w:w="1368"/>
          </w:tcPr>
          <w:p>
            <w:pPr>
              <w:pStyle w:val="TableText"/>
              <w:keepNext/>
              <w:jc w:val="center"/>
            </w:pPr>
            <w:r/>
            <w:r>
              <w:t>27.70 (28.15)</w:t>
            </w:r>
          </w:p>
        </w:tc>
        <w:tc>
          <w:tcPr>
            <w:tcW w:type="dxa" w:w="1296"/>
          </w:tcPr>
          <w:p>
            <w:pPr>
              <w:pStyle w:val="TableText"/>
              <w:keepNext/>
              <w:jc w:val="center"/>
            </w:pPr>
            <w:r/>
            <w:r>
              <w:t>3.05 (1.57)</w:t>
            </w:r>
          </w:p>
        </w:tc>
        <w:tc>
          <w:tcPr>
            <w:tcW w:type="dxa" w:w="1224"/>
          </w:tcPr>
          <w:p>
            <w:pPr>
              <w:pStyle w:val="TableText"/>
              <w:keepNext/>
              <w:jc w:val="center"/>
            </w:pPr>
            <w:r/>
            <w:r>
              <w:t>1</w:t>
            </w:r>
          </w:p>
        </w:tc>
      </w:tr>
      <w:tr>
        <w:trPr>
          <w:cantSplit/>
        </w:trPr>
        <w:tc>
          <w:tcPr>
            <w:tcW w:type="dxa" w:w="504"/>
            <w:vMerge w:val="restart"/>
          </w:tcPr>
          <w:p>
            <w:pPr>
              <w:pStyle w:val="TableText"/>
              <w:keepNext/>
              <w:jc w:val="left"/>
            </w:pPr>
            <w:r/>
            <w:r>
              <w:t>4</w:t>
            </w:r>
          </w:p>
        </w:tc>
        <w:tc>
          <w:tcPr>
            <w:tcW w:type="dxa" w:w="1152"/>
            <w:vMerge w:val="restart"/>
          </w:tcPr>
          <w:p>
            <w:pPr>
              <w:pStyle w:val="TableText"/>
              <w:keepNext/>
              <w:jc w:val="left"/>
            </w:pPr>
            <w:r/>
            <w:r>
              <w:rPr>
                <w:i/>
              </w:rPr>
              <w:t>zhǐ</w:t>
            </w:r>
            <w:r>
              <w:br/>
            </w:r>
            <w:r>
              <w:t>“paper”</w:t>
            </w:r>
          </w:p>
        </w:tc>
        <w:tc>
          <w:tcPr>
            <w:tcW w:type="dxa" w:w="1368"/>
            <w:vMerge w:val="restart"/>
          </w:tcPr>
          <w:p>
            <w:pPr>
              <w:pStyle w:val="TableText"/>
              <w:keepNext/>
              <w:jc w:val="left"/>
            </w:pPr>
            <w:r/>
            <w:r>
              <w:rPr>
                <w:i/>
              </w:rPr>
              <w:t>pò</w:t>
            </w:r>
            <w:r>
              <w:br/>
            </w:r>
            <w:r>
              <w:t>“torn”</w:t>
            </w:r>
          </w:p>
        </w:tc>
        <w:tc>
          <w:tcPr>
            <w:tcW w:type="dxa" w:w="1080"/>
          </w:tcPr>
          <w:p>
            <w:pPr>
              <w:pStyle w:val="TableText"/>
              <w:keepNext/>
              <w:jc w:val="left"/>
            </w:pPr>
            <w:r/>
            <w:r>
              <w:rPr>
                <w:i/>
              </w:rPr>
              <w:t>sī</w:t>
            </w:r>
            <w:r>
              <w:br/>
            </w:r>
            <w:r>
              <w:t>“tear”</w:t>
            </w:r>
          </w:p>
        </w:tc>
        <w:tc>
          <w:tcPr>
            <w:tcW w:type="dxa" w:w="1368"/>
          </w:tcPr>
          <w:p>
            <w:pPr>
              <w:pStyle w:val="TableText"/>
              <w:keepNext/>
              <w:jc w:val="left"/>
            </w:pPr>
            <w:r/>
            <w:r>
              <w:rPr>
                <w:i/>
              </w:rPr>
              <w:t>sī-pò</w:t>
            </w:r>
          </w:p>
        </w:tc>
        <w:tc>
          <w:tcPr>
            <w:tcW w:type="dxa" w:w="1368"/>
          </w:tcPr>
          <w:p>
            <w:pPr>
              <w:pStyle w:val="TableText"/>
              <w:keepNext/>
              <w:jc w:val="center"/>
            </w:pPr>
            <w:r/>
            <w:r>
              <w:t>86.65 (17.12)</w:t>
            </w:r>
          </w:p>
        </w:tc>
        <w:tc>
          <w:tcPr>
            <w:tcW w:type="dxa" w:w="1296"/>
          </w:tcPr>
          <w:p>
            <w:pPr>
              <w:pStyle w:val="TableText"/>
              <w:keepNext/>
              <w:jc w:val="center"/>
            </w:pPr>
            <w:r/>
            <w:r>
              <w:t>6.50 (0.95)</w:t>
            </w:r>
          </w:p>
        </w:tc>
        <w:tc>
          <w:tcPr>
            <w:tcW w:type="dxa" w:w="1224"/>
          </w:tcPr>
          <w:p>
            <w:pPr>
              <w:pStyle w:val="TableText"/>
              <w:keepNext/>
              <w:jc w:val="center"/>
            </w:pPr>
            <w:r/>
            <w:r>
              <w:t>2,350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zhuài</w:t>
            </w:r>
            <w:r>
              <w:br/>
            </w:r>
            <w:r>
              <w:t>“pull”</w:t>
            </w:r>
          </w:p>
        </w:tc>
        <w:tc>
          <w:tcPr>
            <w:tcW w:type="dxa" w:w="1368"/>
          </w:tcPr>
          <w:p>
            <w:pPr>
              <w:pStyle w:val="TableText"/>
              <w:keepNext/>
              <w:jc w:val="left"/>
            </w:pPr>
            <w:r/>
            <w:r>
              <w:rPr>
                <w:i/>
              </w:rPr>
              <w:t>zhuài-pò</w:t>
            </w:r>
          </w:p>
        </w:tc>
        <w:tc>
          <w:tcPr>
            <w:tcW w:type="dxa" w:w="1368"/>
          </w:tcPr>
          <w:p>
            <w:pPr>
              <w:pStyle w:val="TableText"/>
              <w:keepNext/>
              <w:jc w:val="center"/>
            </w:pPr>
            <w:r/>
            <w:r>
              <w:t>50.40 (18.28)</w:t>
            </w:r>
          </w:p>
        </w:tc>
        <w:tc>
          <w:tcPr>
            <w:tcW w:type="dxa" w:w="1296"/>
          </w:tcPr>
          <w:p>
            <w:pPr>
              <w:pStyle w:val="TableText"/>
              <w:keepNext/>
              <w:jc w:val="center"/>
            </w:pPr>
            <w:r/>
            <w:r>
              <w:t>3.00 (1.30)</w:t>
            </w:r>
          </w:p>
        </w:tc>
        <w:tc>
          <w:tcPr>
            <w:tcW w:type="dxa" w:w="1224"/>
          </w:tcPr>
          <w:p>
            <w:pPr>
              <w:pStyle w:val="TableText"/>
              <w:keepNext/>
              <w:jc w:val="center"/>
            </w:pPr>
            <w:r/>
            <w:r>
              <w:t>2</w:t>
            </w:r>
          </w:p>
        </w:tc>
      </w:tr>
      <w:tr>
        <w:trPr>
          <w:cantSplit/>
        </w:trPr>
        <w:tc>
          <w:tcPr>
            <w:tcW w:type="dxa" w:w="504"/>
            <w:vMerge w:val="restart"/>
          </w:tcPr>
          <w:p>
            <w:pPr>
              <w:pStyle w:val="TableText"/>
              <w:keepNext/>
              <w:jc w:val="left"/>
            </w:pPr>
            <w:r/>
            <w:r>
              <w:t>5</w:t>
            </w:r>
          </w:p>
        </w:tc>
        <w:tc>
          <w:tcPr>
            <w:tcW w:type="dxa" w:w="1152"/>
            <w:vMerge w:val="restart"/>
          </w:tcPr>
          <w:p>
            <w:pPr>
              <w:pStyle w:val="TableText"/>
              <w:keepNext/>
              <w:jc w:val="left"/>
            </w:pPr>
            <w:r/>
            <w:r>
              <w:rPr>
                <w:i/>
              </w:rPr>
              <w:t>làzhú</w:t>
            </w:r>
            <w:r>
              <w:br/>
            </w:r>
            <w:r>
              <w:t>“candle”</w:t>
            </w:r>
          </w:p>
        </w:tc>
        <w:tc>
          <w:tcPr>
            <w:tcW w:type="dxa" w:w="1368"/>
            <w:vMerge w:val="restart"/>
          </w:tcPr>
          <w:p>
            <w:pPr>
              <w:pStyle w:val="TableText"/>
              <w:keepNext/>
              <w:jc w:val="left"/>
            </w:pPr>
            <w:r/>
            <w:r>
              <w:rPr>
                <w:i/>
              </w:rPr>
              <w:t>miè</w:t>
            </w:r>
            <w:r>
              <w:br/>
            </w:r>
            <w:r>
              <w:t>“extinguished”</w:t>
            </w:r>
          </w:p>
        </w:tc>
        <w:tc>
          <w:tcPr>
            <w:tcW w:type="dxa" w:w="1080"/>
          </w:tcPr>
          <w:p>
            <w:pPr>
              <w:pStyle w:val="TableText"/>
              <w:keepNext/>
              <w:jc w:val="left"/>
            </w:pPr>
            <w:r/>
            <w:r>
              <w:rPr>
                <w:i/>
              </w:rPr>
              <w:t>chuī</w:t>
            </w:r>
            <w:r>
              <w:br/>
            </w:r>
            <w:r>
              <w:t>“blow”</w:t>
            </w:r>
          </w:p>
        </w:tc>
        <w:tc>
          <w:tcPr>
            <w:tcW w:type="dxa" w:w="1368"/>
          </w:tcPr>
          <w:p>
            <w:pPr>
              <w:pStyle w:val="TableText"/>
              <w:keepNext/>
              <w:jc w:val="left"/>
            </w:pPr>
            <w:r/>
            <w:r>
              <w:rPr>
                <w:i/>
              </w:rPr>
              <w:t>chuī-miè</w:t>
            </w:r>
          </w:p>
        </w:tc>
        <w:tc>
          <w:tcPr>
            <w:tcW w:type="dxa" w:w="1368"/>
          </w:tcPr>
          <w:p>
            <w:pPr>
              <w:pStyle w:val="TableText"/>
              <w:keepNext/>
              <w:jc w:val="center"/>
            </w:pPr>
            <w:r/>
            <w:r>
              <w:t>76.25 (17.39)</w:t>
            </w:r>
          </w:p>
        </w:tc>
        <w:tc>
          <w:tcPr>
            <w:tcW w:type="dxa" w:w="1296"/>
          </w:tcPr>
          <w:p>
            <w:pPr>
              <w:pStyle w:val="TableText"/>
              <w:keepNext/>
              <w:jc w:val="center"/>
            </w:pPr>
            <w:r/>
            <w:r>
              <w:t>6.65 (0.75)</w:t>
            </w:r>
          </w:p>
        </w:tc>
        <w:tc>
          <w:tcPr>
            <w:tcW w:type="dxa" w:w="1224"/>
          </w:tcPr>
          <w:p>
            <w:pPr>
              <w:pStyle w:val="TableText"/>
              <w:keepNext/>
              <w:jc w:val="center"/>
            </w:pPr>
            <w:r/>
            <w:r>
              <w:t>770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huī</w:t>
            </w:r>
            <w:r>
              <w:br/>
            </w:r>
            <w:r>
              <w:t>“wave”</w:t>
            </w:r>
          </w:p>
        </w:tc>
        <w:tc>
          <w:tcPr>
            <w:tcW w:type="dxa" w:w="1368"/>
          </w:tcPr>
          <w:p>
            <w:pPr>
              <w:pStyle w:val="TableText"/>
              <w:keepNext/>
              <w:jc w:val="left"/>
            </w:pPr>
            <w:r/>
            <w:r>
              <w:rPr>
                <w:i/>
              </w:rPr>
              <w:t>huī-miè</w:t>
            </w:r>
          </w:p>
        </w:tc>
        <w:tc>
          <w:tcPr>
            <w:tcW w:type="dxa" w:w="1368"/>
          </w:tcPr>
          <w:p>
            <w:pPr>
              <w:pStyle w:val="TableText"/>
              <w:keepNext/>
              <w:jc w:val="center"/>
            </w:pPr>
            <w:r/>
            <w:r>
              <w:t>40.45 (22.25)</w:t>
            </w:r>
          </w:p>
        </w:tc>
        <w:tc>
          <w:tcPr>
            <w:tcW w:type="dxa" w:w="1296"/>
          </w:tcPr>
          <w:p>
            <w:pPr>
              <w:pStyle w:val="TableText"/>
              <w:keepNext/>
              <w:jc w:val="center"/>
            </w:pPr>
            <w:r/>
            <w:r>
              <w:t>2.70 (1.30)</w:t>
            </w:r>
          </w:p>
        </w:tc>
        <w:tc>
          <w:tcPr>
            <w:tcW w:type="dxa" w:w="1224"/>
          </w:tcPr>
          <w:p>
            <w:pPr>
              <w:pStyle w:val="TableText"/>
              <w:keepNext/>
              <w:jc w:val="center"/>
            </w:pPr>
            <w:r/>
            <w:r>
              <w:t>0</w:t>
            </w:r>
          </w:p>
        </w:tc>
      </w:tr>
      <w:tr>
        <w:trPr>
          <w:cantSplit/>
        </w:trPr>
        <w:tc>
          <w:tcPr>
            <w:tcW w:type="dxa" w:w="504"/>
            <w:vMerge w:val="restart"/>
          </w:tcPr>
          <w:p>
            <w:pPr>
              <w:pStyle w:val="TableText"/>
              <w:keepNext/>
              <w:jc w:val="left"/>
            </w:pPr>
            <w:r/>
            <w:r>
              <w:t>6</w:t>
            </w:r>
          </w:p>
        </w:tc>
        <w:tc>
          <w:tcPr>
            <w:tcW w:type="dxa" w:w="1152"/>
            <w:vMerge w:val="restart"/>
          </w:tcPr>
          <w:p>
            <w:pPr>
              <w:pStyle w:val="TableText"/>
              <w:keepNext/>
              <w:jc w:val="left"/>
            </w:pPr>
            <w:r/>
            <w:r>
              <w:rPr>
                <w:i/>
              </w:rPr>
              <w:t>píngzi</w:t>
            </w:r>
            <w:r>
              <w:br/>
            </w:r>
            <w:r>
              <w:t>“bottle”</w:t>
            </w:r>
          </w:p>
        </w:tc>
        <w:tc>
          <w:tcPr>
            <w:tcW w:type="dxa" w:w="1368"/>
            <w:vMerge w:val="restart"/>
          </w:tcPr>
          <w:p>
            <w:pPr>
              <w:pStyle w:val="TableText"/>
              <w:keepNext/>
              <w:jc w:val="left"/>
            </w:pPr>
            <w:r/>
            <w:r>
              <w:rPr>
                <w:i/>
              </w:rPr>
              <w:t>dǎo</w:t>
            </w:r>
            <w:r>
              <w:br/>
            </w:r>
            <w:r>
              <w:t>“fallen”</w:t>
            </w:r>
          </w:p>
        </w:tc>
        <w:tc>
          <w:tcPr>
            <w:tcW w:type="dxa" w:w="1080"/>
          </w:tcPr>
          <w:p>
            <w:pPr>
              <w:pStyle w:val="TableText"/>
              <w:keepNext/>
              <w:jc w:val="left"/>
            </w:pPr>
            <w:r/>
            <w:r>
              <w:rPr>
                <w:i/>
              </w:rPr>
              <w:t>tī</w:t>
            </w:r>
            <w:r>
              <w:br/>
            </w:r>
            <w:r>
              <w:t>“kick”</w:t>
            </w:r>
          </w:p>
        </w:tc>
        <w:tc>
          <w:tcPr>
            <w:tcW w:type="dxa" w:w="1368"/>
          </w:tcPr>
          <w:p>
            <w:pPr>
              <w:pStyle w:val="TableText"/>
              <w:keepNext/>
              <w:jc w:val="left"/>
            </w:pPr>
            <w:r/>
            <w:r>
              <w:rPr>
                <w:i/>
              </w:rPr>
              <w:t>tī-dǎo</w:t>
            </w:r>
          </w:p>
        </w:tc>
        <w:tc>
          <w:tcPr>
            <w:tcW w:type="dxa" w:w="1368"/>
          </w:tcPr>
          <w:p>
            <w:pPr>
              <w:pStyle w:val="TableText"/>
              <w:keepNext/>
              <w:jc w:val="center"/>
            </w:pPr>
            <w:r/>
            <w:r>
              <w:t>88.05 (12.70)</w:t>
            </w:r>
          </w:p>
        </w:tc>
        <w:tc>
          <w:tcPr>
            <w:tcW w:type="dxa" w:w="1296"/>
          </w:tcPr>
          <w:p>
            <w:pPr>
              <w:pStyle w:val="TableText"/>
              <w:keepNext/>
              <w:jc w:val="center"/>
            </w:pPr>
            <w:r/>
            <w:r>
              <w:t>5.75 (1.02)</w:t>
            </w:r>
          </w:p>
        </w:tc>
        <w:tc>
          <w:tcPr>
            <w:tcW w:type="dxa" w:w="1224"/>
          </w:tcPr>
          <w:p>
            <w:pPr>
              <w:pStyle w:val="TableText"/>
              <w:keepNext/>
              <w:jc w:val="center"/>
            </w:pPr>
            <w:r/>
            <w:r>
              <w:t>480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tuī</w:t>
            </w:r>
            <w:r>
              <w:br/>
            </w:r>
            <w:r>
              <w:t>“push”</w:t>
            </w:r>
          </w:p>
        </w:tc>
        <w:tc>
          <w:tcPr>
            <w:tcW w:type="dxa" w:w="1368"/>
          </w:tcPr>
          <w:p>
            <w:pPr>
              <w:pStyle w:val="TableText"/>
              <w:keepNext/>
              <w:jc w:val="left"/>
            </w:pPr>
            <w:r/>
            <w:r>
              <w:rPr>
                <w:i/>
              </w:rPr>
              <w:t>tuī-dǎo</w:t>
            </w:r>
          </w:p>
        </w:tc>
        <w:tc>
          <w:tcPr>
            <w:tcW w:type="dxa" w:w="1368"/>
          </w:tcPr>
          <w:p>
            <w:pPr>
              <w:pStyle w:val="TableText"/>
              <w:keepNext/>
              <w:jc w:val="center"/>
            </w:pPr>
            <w:r/>
            <w:r>
              <w:t>56.65 (26.29)</w:t>
            </w:r>
          </w:p>
        </w:tc>
        <w:tc>
          <w:tcPr>
            <w:tcW w:type="dxa" w:w="1296"/>
          </w:tcPr>
          <w:p>
            <w:pPr>
              <w:pStyle w:val="TableText"/>
              <w:keepNext/>
              <w:jc w:val="center"/>
            </w:pPr>
            <w:r/>
            <w:r>
              <w:t>4.45 (1.64)</w:t>
            </w:r>
          </w:p>
        </w:tc>
        <w:tc>
          <w:tcPr>
            <w:tcW w:type="dxa" w:w="1224"/>
          </w:tcPr>
          <w:p>
            <w:pPr>
              <w:pStyle w:val="TableText"/>
              <w:keepNext/>
              <w:jc w:val="center"/>
            </w:pPr>
            <w:r/>
            <w:r>
              <w:t>5,750ᶜ</w:t>
            </w:r>
          </w:p>
        </w:tc>
      </w:tr>
      <w:tr>
        <w:trPr>
          <w:cantSplit/>
        </w:trPr>
        <w:tc>
          <w:tcPr>
            <w:tcW w:type="dxa" w:w="504"/>
            <w:vMerge w:val="restart"/>
          </w:tcPr>
          <w:p>
            <w:pPr>
              <w:pStyle w:val="TableText"/>
              <w:keepNext/>
              <w:jc w:val="left"/>
            </w:pPr>
            <w:r/>
            <w:r>
              <w:t>7ᵃ</w:t>
            </w:r>
          </w:p>
        </w:tc>
        <w:tc>
          <w:tcPr>
            <w:tcW w:type="dxa" w:w="1152"/>
            <w:vMerge w:val="restart"/>
          </w:tcPr>
          <w:p>
            <w:pPr>
              <w:pStyle w:val="TableText"/>
              <w:keepNext/>
              <w:jc w:val="left"/>
            </w:pPr>
            <w:r/>
            <w:r>
              <w:rPr>
                <w:i/>
              </w:rPr>
              <w:t>Xiǎo Wáng</w:t>
            </w:r>
            <w:r>
              <w:br/>
            </w:r>
            <w:r>
              <w:t>“a person”</w:t>
            </w:r>
          </w:p>
        </w:tc>
        <w:tc>
          <w:tcPr>
            <w:tcW w:type="dxa" w:w="1368"/>
            <w:vMerge w:val="restart"/>
          </w:tcPr>
          <w:p>
            <w:pPr>
              <w:pStyle w:val="TableText"/>
              <w:keepNext/>
              <w:jc w:val="left"/>
            </w:pPr>
            <w:r/>
            <w:r>
              <w:rPr>
                <w:i/>
              </w:rPr>
              <w:t>xǐng</w:t>
            </w:r>
            <w:r>
              <w:br/>
            </w:r>
            <w:r>
              <w:t>“awake”</w:t>
            </w:r>
          </w:p>
        </w:tc>
        <w:tc>
          <w:tcPr>
            <w:tcW w:type="dxa" w:w="1080"/>
          </w:tcPr>
          <w:p>
            <w:pPr>
              <w:pStyle w:val="TableText"/>
              <w:keepNext/>
              <w:jc w:val="left"/>
            </w:pPr>
            <w:r/>
            <w:r>
              <w:rPr>
                <w:i/>
              </w:rPr>
              <w:t>qiā</w:t>
            </w:r>
            <w:r>
              <w:br/>
            </w:r>
            <w:r>
              <w:t>“pinch”</w:t>
            </w:r>
          </w:p>
        </w:tc>
        <w:tc>
          <w:tcPr>
            <w:tcW w:type="dxa" w:w="1368"/>
          </w:tcPr>
          <w:p>
            <w:pPr>
              <w:pStyle w:val="TableText"/>
              <w:keepNext/>
              <w:jc w:val="left"/>
            </w:pPr>
            <w:r/>
            <w:r>
              <w:rPr>
                <w:i/>
              </w:rPr>
              <w:t>qiā-xǐng</w:t>
            </w:r>
          </w:p>
        </w:tc>
        <w:tc>
          <w:tcPr>
            <w:tcW w:type="dxa" w:w="1368"/>
          </w:tcPr>
          <w:p>
            <w:pPr>
              <w:pStyle w:val="TableText"/>
              <w:keepNext/>
              <w:jc w:val="center"/>
            </w:pPr>
            <w:r/>
            <w:r>
              <w:t>70.30 (20.83)</w:t>
            </w:r>
          </w:p>
        </w:tc>
        <w:tc>
          <w:tcPr>
            <w:tcW w:type="dxa" w:w="1296"/>
          </w:tcPr>
          <w:p>
            <w:pPr>
              <w:pStyle w:val="TableText"/>
              <w:keepNext/>
              <w:jc w:val="center"/>
            </w:pPr>
            <w:r/>
            <w:r>
              <w:t>5.05 (1.54)</w:t>
            </w:r>
          </w:p>
        </w:tc>
        <w:tc>
          <w:tcPr>
            <w:tcW w:type="dxa" w:w="1224"/>
          </w:tcPr>
          <w:p>
            <w:pPr>
              <w:pStyle w:val="TableText"/>
              <w:keepNext/>
              <w:jc w:val="center"/>
            </w:pPr>
            <w:r/>
            <w:r>
              <w:t>7</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jiào</w:t>
            </w:r>
            <w:r>
              <w:br/>
            </w:r>
            <w:r>
              <w:t>“call”</w:t>
            </w:r>
          </w:p>
        </w:tc>
        <w:tc>
          <w:tcPr>
            <w:tcW w:type="dxa" w:w="1368"/>
          </w:tcPr>
          <w:p>
            <w:pPr>
              <w:pStyle w:val="TableText"/>
              <w:keepNext/>
              <w:jc w:val="left"/>
            </w:pPr>
            <w:r/>
            <w:r>
              <w:rPr>
                <w:i/>
              </w:rPr>
              <w:t>jiào-xǐng</w:t>
            </w:r>
          </w:p>
        </w:tc>
        <w:tc>
          <w:tcPr>
            <w:tcW w:type="dxa" w:w="1368"/>
          </w:tcPr>
          <w:p>
            <w:pPr>
              <w:pStyle w:val="TableText"/>
              <w:keepNext/>
              <w:jc w:val="center"/>
            </w:pPr>
            <w:r/>
            <w:r>
              <w:t>55.95 (20.78)</w:t>
            </w:r>
          </w:p>
        </w:tc>
        <w:tc>
          <w:tcPr>
            <w:tcW w:type="dxa" w:w="1296"/>
          </w:tcPr>
          <w:p>
            <w:pPr>
              <w:pStyle w:val="TableText"/>
              <w:keepNext/>
              <w:jc w:val="center"/>
            </w:pPr>
            <w:r/>
            <w:r>
              <w:t>6.05 (1.15)</w:t>
            </w:r>
          </w:p>
        </w:tc>
        <w:tc>
          <w:tcPr>
            <w:tcW w:type="dxa" w:w="1224"/>
          </w:tcPr>
          <w:p>
            <w:pPr>
              <w:pStyle w:val="TableText"/>
              <w:keepNext/>
              <w:jc w:val="center"/>
            </w:pPr>
            <w:r/>
            <w:r>
              <w:t>4,560</w:t>
            </w:r>
          </w:p>
        </w:tc>
      </w:tr>
      <w:tr>
        <w:trPr>
          <w:cantSplit/>
        </w:trPr>
        <w:tc>
          <w:tcPr>
            <w:tcW w:type="dxa" w:w="504"/>
            <w:vMerge w:val="restart"/>
          </w:tcPr>
          <w:p>
            <w:pPr>
              <w:pStyle w:val="TableText"/>
              <w:keepNext/>
              <w:jc w:val="left"/>
            </w:pPr>
            <w:r/>
            <w:r>
              <w:t>8ᵃ</w:t>
            </w:r>
          </w:p>
        </w:tc>
        <w:tc>
          <w:tcPr>
            <w:tcW w:type="dxa" w:w="1152"/>
            <w:vMerge w:val="restart"/>
          </w:tcPr>
          <w:p>
            <w:pPr>
              <w:pStyle w:val="TableText"/>
              <w:keepNext/>
              <w:jc w:val="left"/>
            </w:pPr>
            <w:r/>
            <w:r>
              <w:rPr>
                <w:i/>
              </w:rPr>
              <w:t>shǒuzhǎng</w:t>
            </w:r>
            <w:r>
              <w:br/>
            </w:r>
            <w:r>
              <w:t>“palm”</w:t>
            </w:r>
          </w:p>
        </w:tc>
        <w:tc>
          <w:tcPr>
            <w:tcW w:type="dxa" w:w="1368"/>
            <w:vMerge w:val="restart"/>
          </w:tcPr>
          <w:p>
            <w:pPr>
              <w:pStyle w:val="TableText"/>
              <w:keepNext/>
              <w:jc w:val="left"/>
            </w:pPr>
            <w:r/>
            <w:r>
              <w:rPr>
                <w:i/>
              </w:rPr>
              <w:t>hóng</w:t>
            </w:r>
            <w:r>
              <w:br/>
            </w:r>
            <w:r>
              <w:t>“red”</w:t>
            </w:r>
          </w:p>
        </w:tc>
        <w:tc>
          <w:tcPr>
            <w:tcW w:type="dxa" w:w="1080"/>
          </w:tcPr>
          <w:p>
            <w:pPr>
              <w:pStyle w:val="TableText"/>
              <w:keepNext/>
              <w:jc w:val="left"/>
            </w:pPr>
            <w:r/>
            <w:r>
              <w:rPr>
                <w:i/>
              </w:rPr>
              <w:t>tú</w:t>
            </w:r>
            <w:r>
              <w:br/>
            </w:r>
            <w:r>
              <w:t>“paint”</w:t>
            </w:r>
          </w:p>
        </w:tc>
        <w:tc>
          <w:tcPr>
            <w:tcW w:type="dxa" w:w="1368"/>
          </w:tcPr>
          <w:p>
            <w:pPr>
              <w:pStyle w:val="TableText"/>
              <w:keepNext/>
              <w:jc w:val="left"/>
            </w:pPr>
            <w:r/>
            <w:r>
              <w:rPr>
                <w:i/>
              </w:rPr>
              <w:t>tú-hóng</w:t>
            </w:r>
          </w:p>
        </w:tc>
        <w:tc>
          <w:tcPr>
            <w:tcW w:type="dxa" w:w="1368"/>
          </w:tcPr>
          <w:p>
            <w:pPr>
              <w:pStyle w:val="TableText"/>
              <w:keepNext/>
              <w:jc w:val="center"/>
            </w:pPr>
            <w:r/>
            <w:r>
              <w:t>66.30 (30.68)</w:t>
            </w:r>
          </w:p>
        </w:tc>
        <w:tc>
          <w:tcPr>
            <w:tcW w:type="dxa" w:w="1296"/>
          </w:tcPr>
          <w:p>
            <w:pPr>
              <w:pStyle w:val="TableText"/>
              <w:keepNext/>
              <w:jc w:val="center"/>
            </w:pPr>
            <w:r/>
            <w:r>
              <w:t>4.70 (2.25)</w:t>
            </w:r>
          </w:p>
        </w:tc>
        <w:tc>
          <w:tcPr>
            <w:tcW w:type="dxa" w:w="1224"/>
          </w:tcPr>
          <w:p>
            <w:pPr>
              <w:pStyle w:val="TableText"/>
              <w:keepNext/>
              <w:jc w:val="center"/>
            </w:pPr>
            <w:r/>
            <w:r>
              <w:t>110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náo</w:t>
            </w:r>
            <w:r>
              <w:br/>
            </w:r>
            <w:r>
              <w:t>“scratch”</w:t>
            </w:r>
          </w:p>
        </w:tc>
        <w:tc>
          <w:tcPr>
            <w:tcW w:type="dxa" w:w="1368"/>
          </w:tcPr>
          <w:p>
            <w:pPr>
              <w:pStyle w:val="TableText"/>
              <w:keepNext/>
              <w:jc w:val="left"/>
            </w:pPr>
            <w:r/>
            <w:r>
              <w:rPr>
                <w:i/>
              </w:rPr>
              <w:t>náo-hóng</w:t>
            </w:r>
          </w:p>
        </w:tc>
        <w:tc>
          <w:tcPr>
            <w:tcW w:type="dxa" w:w="1368"/>
          </w:tcPr>
          <w:p>
            <w:pPr>
              <w:pStyle w:val="TableText"/>
              <w:keepNext/>
              <w:jc w:val="center"/>
            </w:pPr>
            <w:r/>
            <w:r>
              <w:t>49.90 (25.37)</w:t>
            </w:r>
          </w:p>
        </w:tc>
        <w:tc>
          <w:tcPr>
            <w:tcW w:type="dxa" w:w="1296"/>
          </w:tcPr>
          <w:p>
            <w:pPr>
              <w:pStyle w:val="TableText"/>
              <w:keepNext/>
              <w:jc w:val="center"/>
            </w:pPr>
            <w:r/>
            <w:r>
              <w:t>4.25 (1.55)</w:t>
            </w:r>
          </w:p>
        </w:tc>
        <w:tc>
          <w:tcPr>
            <w:tcW w:type="dxa" w:w="1224"/>
          </w:tcPr>
          <w:p>
            <w:pPr>
              <w:pStyle w:val="TableText"/>
              <w:keepNext/>
              <w:jc w:val="center"/>
            </w:pPr>
            <w:r/>
            <w:r>
              <w:t>1</w:t>
            </w:r>
          </w:p>
        </w:tc>
      </w:tr>
      <w:tr>
        <w:trPr>
          <w:cantSplit/>
        </w:trPr>
        <w:tc>
          <w:tcPr>
            <w:tcW w:type="dxa" w:w="504"/>
            <w:vMerge w:val="restart"/>
          </w:tcPr>
          <w:p>
            <w:pPr>
              <w:pStyle w:val="TableText"/>
              <w:keepNext/>
              <w:jc w:val="left"/>
            </w:pPr>
            <w:r/>
            <w:r>
              <w:t>9</w:t>
            </w:r>
          </w:p>
        </w:tc>
        <w:tc>
          <w:tcPr>
            <w:tcW w:type="dxa" w:w="1152"/>
            <w:vMerge w:val="restart"/>
          </w:tcPr>
          <w:p>
            <w:pPr>
              <w:pStyle w:val="TableText"/>
              <w:keepNext/>
              <w:jc w:val="left"/>
            </w:pPr>
            <w:r/>
            <w:r>
              <w:rPr>
                <w:i/>
              </w:rPr>
              <w:t>jìngzi</w:t>
            </w:r>
            <w:r>
              <w:br/>
            </w:r>
            <w:r>
              <w:t>“mirror”</w:t>
            </w:r>
          </w:p>
        </w:tc>
        <w:tc>
          <w:tcPr>
            <w:tcW w:type="dxa" w:w="1368"/>
            <w:vMerge w:val="restart"/>
          </w:tcPr>
          <w:p>
            <w:pPr>
              <w:pStyle w:val="TableText"/>
              <w:keepNext/>
              <w:jc w:val="left"/>
            </w:pPr>
            <w:r/>
            <w:r>
              <w:rPr>
                <w:i/>
              </w:rPr>
              <w:t>gānjìng</w:t>
            </w:r>
            <w:r>
              <w:br/>
            </w:r>
            <w:r>
              <w:t>“clean”</w:t>
            </w:r>
          </w:p>
        </w:tc>
        <w:tc>
          <w:tcPr>
            <w:tcW w:type="dxa" w:w="1080"/>
          </w:tcPr>
          <w:p>
            <w:pPr>
              <w:pStyle w:val="TableText"/>
              <w:keepNext/>
              <w:jc w:val="left"/>
            </w:pPr>
            <w:r/>
            <w:r>
              <w:rPr>
                <w:i/>
              </w:rPr>
              <w:t>cā</w:t>
            </w:r>
            <w:r>
              <w:br/>
            </w:r>
            <w:r>
              <w:t>“wipe”</w:t>
            </w:r>
          </w:p>
        </w:tc>
        <w:tc>
          <w:tcPr>
            <w:tcW w:type="dxa" w:w="1368"/>
          </w:tcPr>
          <w:p>
            <w:pPr>
              <w:pStyle w:val="TableText"/>
              <w:keepNext/>
              <w:jc w:val="left"/>
            </w:pPr>
            <w:r/>
            <w:r>
              <w:rPr>
                <w:i/>
              </w:rPr>
              <w:t>cā-gānjìng</w:t>
            </w:r>
          </w:p>
        </w:tc>
        <w:tc>
          <w:tcPr>
            <w:tcW w:type="dxa" w:w="1368"/>
          </w:tcPr>
          <w:p>
            <w:pPr>
              <w:pStyle w:val="TableText"/>
              <w:keepNext/>
              <w:jc w:val="center"/>
            </w:pPr>
            <w:r/>
            <w:r>
              <w:t>77.15 (19.68)</w:t>
            </w:r>
          </w:p>
        </w:tc>
        <w:tc>
          <w:tcPr>
            <w:tcW w:type="dxa" w:w="1296"/>
          </w:tcPr>
          <w:p>
            <w:pPr>
              <w:pStyle w:val="TableText"/>
              <w:keepNext/>
              <w:jc w:val="center"/>
            </w:pPr>
            <w:r/>
            <w:r>
              <w:t>6.65 (0.75)</w:t>
            </w:r>
          </w:p>
        </w:tc>
        <w:tc>
          <w:tcPr>
            <w:tcW w:type="dxa" w:w="1224"/>
          </w:tcPr>
          <w:p>
            <w:pPr>
              <w:pStyle w:val="TableText"/>
              <w:keepNext/>
              <w:jc w:val="center"/>
            </w:pPr>
            <w:r/>
            <w:r>
              <w:t>1,840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chōng</w:t>
            </w:r>
            <w:r>
              <w:br/>
            </w:r>
            <w:r>
              <w:t>“rinse”</w:t>
            </w:r>
          </w:p>
        </w:tc>
        <w:tc>
          <w:tcPr>
            <w:tcW w:type="dxa" w:w="1368"/>
          </w:tcPr>
          <w:p>
            <w:pPr>
              <w:pStyle w:val="TableText"/>
              <w:keepNext/>
              <w:jc w:val="left"/>
            </w:pPr>
            <w:r/>
            <w:r>
              <w:rPr>
                <w:i/>
              </w:rPr>
              <w:t>chōng-gānjìng</w:t>
            </w:r>
          </w:p>
        </w:tc>
        <w:tc>
          <w:tcPr>
            <w:tcW w:type="dxa" w:w="1368"/>
          </w:tcPr>
          <w:p>
            <w:pPr>
              <w:pStyle w:val="TableText"/>
              <w:keepNext/>
              <w:jc w:val="center"/>
            </w:pPr>
            <w:r/>
            <w:r>
              <w:t>43.20 (21.14)</w:t>
            </w:r>
          </w:p>
        </w:tc>
        <w:tc>
          <w:tcPr>
            <w:tcW w:type="dxa" w:w="1296"/>
          </w:tcPr>
          <w:p>
            <w:pPr>
              <w:pStyle w:val="TableText"/>
              <w:keepNext/>
              <w:jc w:val="center"/>
            </w:pPr>
            <w:r/>
            <w:r>
              <w:t>2.95 (1.67)</w:t>
            </w:r>
          </w:p>
        </w:tc>
        <w:tc>
          <w:tcPr>
            <w:tcW w:type="dxa" w:w="1224"/>
          </w:tcPr>
          <w:p>
            <w:pPr>
              <w:pStyle w:val="TableText"/>
              <w:keepNext/>
              <w:jc w:val="center"/>
            </w:pPr>
            <w:r/>
            <w:r>
              <w:t>310</w:t>
            </w:r>
          </w:p>
        </w:tc>
      </w:tr>
      <w:tr>
        <w:trPr>
          <w:cantSplit/>
        </w:trPr>
        <w:tc>
          <w:tcPr>
            <w:tcW w:type="dxa" w:w="504"/>
            <w:vMerge w:val="restart"/>
          </w:tcPr>
          <w:p>
            <w:pPr>
              <w:pStyle w:val="TableText"/>
              <w:keepNext/>
              <w:jc w:val="left"/>
            </w:pPr>
            <w:r/>
            <w:r>
              <w:t>10</w:t>
            </w:r>
          </w:p>
        </w:tc>
        <w:tc>
          <w:tcPr>
            <w:tcW w:type="dxa" w:w="1152"/>
            <w:vMerge w:val="restart"/>
          </w:tcPr>
          <w:p>
            <w:pPr>
              <w:pStyle w:val="TableText"/>
              <w:keepNext/>
              <w:jc w:val="left"/>
            </w:pPr>
            <w:r/>
            <w:r>
              <w:rPr>
                <w:i/>
              </w:rPr>
              <w:t>hétao</w:t>
            </w:r>
            <w:r>
              <w:br/>
            </w:r>
            <w:r>
              <w:t>“walnut”</w:t>
            </w:r>
          </w:p>
        </w:tc>
        <w:tc>
          <w:tcPr>
            <w:tcW w:type="dxa" w:w="1368"/>
            <w:vMerge w:val="restart"/>
          </w:tcPr>
          <w:p>
            <w:pPr>
              <w:pStyle w:val="TableText"/>
              <w:keepNext/>
              <w:jc w:val="left"/>
            </w:pPr>
            <w:r/>
            <w:r>
              <w:rPr>
                <w:i/>
              </w:rPr>
              <w:t>suì</w:t>
            </w:r>
            <w:r>
              <w:br/>
            </w:r>
            <w:r>
              <w:t>“broken”</w:t>
            </w:r>
          </w:p>
        </w:tc>
        <w:tc>
          <w:tcPr>
            <w:tcW w:type="dxa" w:w="1080"/>
          </w:tcPr>
          <w:p>
            <w:pPr>
              <w:pStyle w:val="TableText"/>
              <w:keepNext/>
              <w:jc w:val="left"/>
            </w:pPr>
            <w:r/>
            <w:r>
              <w:rPr>
                <w:i/>
              </w:rPr>
              <w:t>jiā</w:t>
            </w:r>
            <w:r>
              <w:br/>
            </w:r>
            <w:r>
              <w:t>“clamp”</w:t>
            </w:r>
          </w:p>
        </w:tc>
        <w:tc>
          <w:tcPr>
            <w:tcW w:type="dxa" w:w="1368"/>
          </w:tcPr>
          <w:p>
            <w:pPr>
              <w:pStyle w:val="TableText"/>
              <w:keepNext/>
              <w:jc w:val="left"/>
            </w:pPr>
            <w:r/>
            <w:r>
              <w:rPr>
                <w:i/>
              </w:rPr>
              <w:t>jiā-suì</w:t>
            </w:r>
          </w:p>
        </w:tc>
        <w:tc>
          <w:tcPr>
            <w:tcW w:type="dxa" w:w="1368"/>
          </w:tcPr>
          <w:p>
            <w:pPr>
              <w:pStyle w:val="TableText"/>
              <w:keepNext/>
              <w:jc w:val="center"/>
            </w:pPr>
            <w:r/>
            <w:r>
              <w:t>72.30 (27.01)</w:t>
            </w:r>
          </w:p>
        </w:tc>
        <w:tc>
          <w:tcPr>
            <w:tcW w:type="dxa" w:w="1296"/>
          </w:tcPr>
          <w:p>
            <w:pPr>
              <w:pStyle w:val="TableText"/>
              <w:keepNext/>
              <w:jc w:val="center"/>
            </w:pPr>
            <w:r/>
            <w:r>
              <w:t>6.20 (1.11)</w:t>
            </w:r>
          </w:p>
        </w:tc>
        <w:tc>
          <w:tcPr>
            <w:tcW w:type="dxa" w:w="1224"/>
          </w:tcPr>
          <w:p>
            <w:pPr>
              <w:pStyle w:val="TableText"/>
              <w:keepNext/>
              <w:jc w:val="center"/>
            </w:pPr>
            <w:r/>
            <w:r>
              <w:t>48</w:t>
            </w:r>
          </w:p>
        </w:tc>
      </w:tr>
      <w:tr>
        <w:trPr>
          <w:cantSplit/>
        </w:trPr>
        <w:tc>
          <w:tcPr>
            <w:tcW w:type="dxa" w:w="504"/>
            <w:vMerge/>
          </w:tcPr>
          <w:p/>
        </w:tc>
        <w:tc>
          <w:tcPr>
            <w:tcW w:type="dxa" w:w="1152"/>
            <w:vMerge/>
          </w:tcPr>
          <w:p/>
        </w:tc>
        <w:tc>
          <w:tcPr>
            <w:tcW w:type="dxa" w:w="1368"/>
            <w:vMerge/>
          </w:tcPr>
          <w:p/>
        </w:tc>
        <w:tc>
          <w:tcPr>
            <w:tcW w:type="dxa" w:w="1080"/>
          </w:tcPr>
          <w:p>
            <w:pPr>
              <w:pStyle w:val="TableText"/>
              <w:jc w:val="left"/>
            </w:pPr>
            <w:r/>
            <w:r>
              <w:rPr>
                <w:i/>
              </w:rPr>
              <w:t>chuí</w:t>
            </w:r>
            <w:r>
              <w:br/>
            </w:r>
            <w:r>
              <w:t>“hammer”</w:t>
            </w:r>
          </w:p>
        </w:tc>
        <w:tc>
          <w:tcPr>
            <w:tcW w:type="dxa" w:w="1368"/>
          </w:tcPr>
          <w:p>
            <w:pPr>
              <w:pStyle w:val="TableText"/>
              <w:jc w:val="left"/>
            </w:pPr>
            <w:r/>
            <w:r>
              <w:rPr>
                <w:i/>
              </w:rPr>
              <w:t>chuí-suì</w:t>
            </w:r>
          </w:p>
        </w:tc>
        <w:tc>
          <w:tcPr>
            <w:tcW w:type="dxa" w:w="1368"/>
          </w:tcPr>
          <w:p>
            <w:pPr>
              <w:pStyle w:val="TableText"/>
              <w:jc w:val="center"/>
            </w:pPr>
            <w:r/>
            <w:r>
              <w:t>42.15 (26.52)</w:t>
            </w:r>
          </w:p>
        </w:tc>
        <w:tc>
          <w:tcPr>
            <w:tcW w:type="dxa" w:w="1296"/>
          </w:tcPr>
          <w:p>
            <w:pPr>
              <w:pStyle w:val="TableText"/>
              <w:jc w:val="center"/>
            </w:pPr>
            <w:r/>
            <w:r>
              <w:t>4.35 (1.81)</w:t>
            </w:r>
          </w:p>
        </w:tc>
        <w:tc>
          <w:tcPr>
            <w:tcW w:type="dxa" w:w="1224"/>
          </w:tcPr>
          <w:p>
            <w:pPr>
              <w:pStyle w:val="TableText"/>
              <w:jc w:val="center"/>
            </w:pPr>
            <w:r/>
            <w:r>
              <w:t>13</w:t>
            </w:r>
          </w:p>
        </w:tc>
      </w:tr>
    </w:tbl>
    <w:p>
      <w:pPr>
        <w:pStyle w:val="TableNote"/>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set labels follow the original design. ᵇ Mostly figurative uses. ᶜ Includes many abstract uses. ᵈ Midpoint of 11–14; some matches could not be classified with certainty.</w:t>
      </w:r>
    </w:p>
    <w:p>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 </w:t>
      </w:r>
      <w:r>
        <w:rPr>
          <w:highlight w:val="yellow"/>
        </w:rPr>
        <w:t>⟦Figure 1：一对 full-result 与 zero-result 视频的截图（可沿用 0507 稿 Figures 1–2）⟧</w:t>
      </w:r>
    </w:p>
    <w:p>
      <w:pPr>
        <w:pStyle w:val="Heading2"/>
      </w:pPr>
      <w:r>
        <w:t>Verb–Video Correspondence</w:t>
      </w:r>
    </w:p>
    <w:p>
      <w:pPr/>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the 10 videos of one set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 </w:t>
      </w:r>
      <w:r>
        <w:rPr>
          <w:highlight w:val="yellow"/>
        </w:rPr>
        <w:t>⟦逐项数值放附录⟧</w:t>
      </w:r>
      <w:r>
        <w:t xml:space="preserve"> These item-level values are used as a covariate in a sensitivity analysis of Experiment 1.</w:t>
      </w:r>
    </w:p>
    <w:p>
      <w:pPr>
        <w:pStyle w:val="Heading2"/>
      </w:pPr>
      <w:r>
        <w:t>Adult Ratings of Result Likelihood and Action Typicality</w:t>
      </w:r>
    </w:p>
    <w:p>
      <w:pPr/>
      <w:r>
        <w:t xml:space="preserve">Twenty native speakers of Mandarin (21–35 years, </w:t>
      </w:r>
      <w:r>
        <w:rPr>
          <w:i/>
        </w:rPr>
        <w:t>M</w:t>
      </w:r>
      <w:r>
        <w:t xml:space="preserve"> = 28.2) </w:t>
      </w:r>
      <w:r>
        <w:rPr>
          <w:highlight w:val="yellow"/>
        </w:rPr>
        <w:t>⟦性别与招募方式待补⟧</w:t>
      </w:r>
      <w:r>
        <w:t xml:space="preserve"> rated each of the 20 V1–object expressions in two separate blocks. In the likelihood block, they judged how likely the target result was to follow the action named by the expression, on a scale from 0 to 100. In the typicality block, they judged how typical the action was as a means of bringing about that result, on a scale from 1 to 7. </w:t>
      </w:r>
      <w:r>
        <w:rPr>
          <w:highlight w:val="yellow"/>
        </w:rPr>
        <w:t>⟦指导语、量表两端标签及一个题目的原文和译文待补⟧</w:t>
      </w:r>
      <w:r>
        <w:t xml:space="preserve"> Because the ratings were collected for sentences naming the expressions, they characterize the action–result relation that each expression describes, not the particular videos. The order of the two blocks was counterbalanced across four lists, which limits, but does not remove, carryover from one judgment to the other.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 </w:t>
      </w:r>
      <w:r>
        <w:rPr>
          <w:highlight w:val="yellow"/>
        </w:rPr>
        <w:t>⟦待核：确认评定者未参加儿童实验、未获知儿童结果⟧</w:t>
      </w:r>
    </w:p>
    <w:p>
      <w:pPr/>
      <w:r>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pPr>
        <w:pStyle w:val="Heading2"/>
      </w:pPr>
      <w:r>
        <w:t>Pair Selection</w:t>
      </w:r>
    </w:p>
    <w:p>
      <w:pPr/>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assigned to the two sets. The two pairs remained in the experimental lists, so all participants saw all 10 pairs, but their trials are excluded from the analyses of Experiment 1. The original design included all 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steps followed an inspection of the child data, analyses with all 10 pairs are reported alongside the main analyses of Experiment 1 (see Sensitivity Analyses).</w:t>
      </w:r>
    </w:p>
    <w:p>
      <w:pPr/>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pPr>
        <w:pStyle w:val="Heading2"/>
      </w:pPr>
      <w:r>
        <w:t>Corpus Frequency of the Corresponding RVCs</w:t>
      </w:r>
    </w:p>
    <w:p>
      <w:pPr/>
      <w:r>
        <w:t xml:space="preserve">To describe how conventional each RVC is, we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(e.g., </w:t>
      </w:r>
      <w:r>
        <w:rPr>
          <w:i/>
        </w:rPr>
        <w:t>sī-pò liǎn</w:t>
      </w:r>
      <w:r>
        <w:t xml:space="preserve"> “tear-torn face,” “fall out with someone”)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pPr/>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pPr>
        <w:pStyle w:val="Heading1"/>
      </w:pPr>
      <w:r>
        <w:t>Experiment 1: Comprehension</w:t>
      </w:r>
    </w:p>
    <w:p>
      <w:pPr>
        <w:pStyle w:val="Heading2"/>
      </w:pPr>
      <w:r>
        <w:t>Method</w:t>
      </w:r>
    </w:p>
    <w:p>
      <w:pPr>
        <w:pStyle w:val="Heading3"/>
      </w:pPr>
      <w:r>
        <w:t>Participants</w:t>
      </w:r>
    </w:p>
    <w:p>
      <w:pPr/>
      <w:r>
        <w:t xml:space="preserve">Participants were 32 four-year-olds (14 female; </w:t>
      </w:r>
      <w:r>
        <w:rPr>
          <w:highlight w:val="yellow"/>
        </w:rPr>
        <w:t>⟦age range in y;m, M⟧</w:t>
      </w:r>
      <w:r>
        <w:t xml:space="preserve">), 32 five-year-olds (15 female; </w:t>
      </w:r>
      <w:r>
        <w:rPr>
          <w:highlight w:val="yellow"/>
        </w:rPr>
        <w:t>⟦age range in y;m, M⟧</w:t>
      </w:r>
      <w:r>
        <w:t xml:space="preserve">), and 40 adults (18 female; 18.3–37.2 years, </w:t>
      </w:r>
      <w:r>
        <w:rPr>
          <w:i/>
        </w:rPr>
        <w:t>M</w:t>
      </w:r>
      <w:r>
        <w:t xml:space="preserve"> = 23.1).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pPr>
        <w:pStyle w:val="Heading3"/>
      </w:pPr>
      <w:r>
        <w:t>Design and Materials</w:t>
      </w:r>
    </w:p>
    <w:p>
      <w:pPr/>
      <w:r>
        <w:t>On each trial, participants watched one critical video and answered a perfective yes–no question about it. The question contained either the RVC or the V1, with the object as a bare noun, as in (3).</w:t>
      </w:r>
    </w:p>
    <w:p>
      <w:pPr>
        <w:pStyle w:val="ExampleFirst"/>
      </w:pPr>
      <w:r>
        <w:t>(3)</w:t>
        <w:tab/>
        <w:t>a.</w:t>
        <w:tab/>
      </w:r>
      <w:r>
        <w:rPr>
          <w:i/>
        </w:rPr>
        <w:t>Tā bāo-le lìzhī ma?</w:t>
      </w:r>
    </w:p>
    <w:p>
      <w:pPr>
        <w:pStyle w:val="Example"/>
      </w:pPr>
      <w:r>
        <w:tab/>
        <w:tab/>
        <w:t>she peel-PERF lychee Q</w:t>
      </w:r>
    </w:p>
    <w:p>
      <w:pPr>
        <w:pStyle w:val="Example"/>
      </w:pPr>
      <w:r>
        <w:tab/>
        <w:tab/>
        <w:t>“Did she peel (the) lychee?”</w:t>
      </w:r>
    </w:p>
    <w:p>
      <w:pPr>
        <w:pStyle w:val="Example"/>
      </w:pPr>
      <w:r>
        <w:tab/>
        <w:t>b.</w:t>
        <w:tab/>
      </w:r>
      <w:r>
        <w:rPr>
          <w:i/>
        </w:rPr>
        <w:t>Tā bāo-kāi-le lìzhī ma?</w:t>
      </w:r>
    </w:p>
    <w:p>
      <w:pPr>
        <w:pStyle w:val="Example"/>
      </w:pPr>
      <w:r>
        <w:tab/>
        <w:tab/>
        <w:t>she peel-open-PERF lychee Q</w:t>
      </w:r>
    </w:p>
    <w:p>
      <w:pPr>
        <w:pStyle w:val="ExampleLast"/>
      </w:pPr>
      <w:r>
        <w:tab/>
        <w:tab/>
        <w:t>“Did she peel (the) lychee open?”</w:t>
      </w:r>
    </w:p>
    <w:p>
      <w:pPr/>
      <w:r>
        <w:t>Form (RVC vs. V1) and set (stronger vs. weaker association) were manipulated between participants, and result realization (full vs. zero) within participants. Eight lists crossed four event lists with the two forms. Each event list contained one action from each of the 10 pairs, all from the same set, with five videos in their full-result and five in their zero-result version; across the two event lists for each set,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pPr/>
      <w:r>
        <w:t>With about four children per age group and five adults per list, the V1 descriptions of each set were judged by eight children per age group and 10 adults, and each V1 description in a given result condition by about four children per age group. Comparisons between the two sets are therefore largely between participants, and item-level estimates are imprecise.</w:t>
      </w:r>
    </w:p>
    <w:p>
      <w:pPr>
        <w:pStyle w:val="Heading3"/>
      </w:pPr>
      <w:r>
        <w:t>Procedure</w:t>
      </w:r>
    </w:p>
    <w:p>
      <w:pPr/>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pPr>
        <w:pStyle w:val="Heading2"/>
      </w:pPr>
      <w:r>
        <w:t>Analysis Plan</w:t>
      </w:r>
    </w:p>
    <w:p>
      <w:pPr/>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pPr>
        <w:pStyle w:val="Heading3"/>
      </w:pPr>
      <w:r>
        <w:t>RVC and V1 Descriptions</w:t>
      </w:r>
    </w:p>
    <w:p>
      <w:pPr/>
      <w:r>
        <w:t>The first model addresses RQ1. It includes form (RVC vs. V1), result realization (full vs. zero), age group (4-year-olds, 5-year-olds, adults), and their interactions; V1 trials from the two sets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pPr>
        <w:pStyle w:val="Heading3"/>
      </w:pPr>
      <w:r>
        <w:t>Stronger- and Weaker-Association V1s</w:t>
      </w:r>
    </w:p>
    <w:p>
      <w:pPr/>
      <w:r>
        <w:t>The second model addresses RQ2 and uses V1 trials only. It includes set (stronger vs. weaker association), result realization, age group, and their interactions. Random effects are intercepts for participants, items, and pairs; a by-participant slope for result realization; by-item slopes for result realization and age group; and a by-pair slope for set, which allows the difference between the two V1s of a pair to vary across pairs. The focal estimates are (a) the difference between sets in zero-result events in each age group; (b) the Set × Result Realization interaction, which assesses whether this difference is larger in zero-result than in full-result events; and (c) the difference between children and adults in the zero-result difference between sets. Because adult acceptance in zero-result events may approach ceiling, the child–adult comparison is evaluated on the log-odds scale, and predicted probabilities are reported alongside.</w:t>
      </w:r>
    </w:p>
    <w:p>
      <w:pPr>
        <w:pStyle w:val="Heading3"/>
      </w:pPr>
      <w:r>
        <w:t>Sensitivity Analyses</w:t>
      </w:r>
    </w:p>
    <w:p>
      <w:pPr/>
      <w:r>
        <w:t>Three analyses assess whether the conclusions depend on the materials: (a) refitting both models with all 10 pairs, with the actions of Pairs 7 and 8 assigned to sets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These analyses are not used to select a preferred subset of items. Acceptance of each V1 and RVC description is also reported by result realization and age group, to show whether a difference between sets is carried by most pairs or by a few.</w:t>
      </w:r>
    </w:p>
    <w:p>
      <w:pPr>
        <w:pStyle w:val="Heading2"/>
      </w:pPr>
      <w:r>
        <w:t>Results</w:t>
      </w:r>
    </w:p>
    <w:p>
      <w:pPr/>
      <w:r>
        <w:t>Accuracy on filler trials was 100% for adults, 97% for 4-year-olds, and 95% for 5-year-olds, and no participant was excluded. The data comprise 1,040 critical responses, of which 832 belong to the eight retained pairs (416 RVC and 416 V1 trials).</w:t>
      </w:r>
    </w:p>
    <w:p>
      <w:pPr/>
      <w:r>
        <w:rPr>
          <w:highlight w:val="yellow"/>
        </w:rPr>
        <w:t>⟦待补：按八对、两组方案重新分析后报告。0507 稿的结果基于全部 10 对和 Strong/Weak 编码，不能直接沿用。⟧</w:t>
      </w:r>
    </w:p>
    <w:p>
      <w:pPr>
        <w:pStyle w:val="Heading1"/>
      </w:pPr>
      <w:r>
        <w:t>Experiment 2: Production</w:t>
      </w:r>
    </w:p>
    <w:p>
      <w:pPr>
        <w:pStyle w:val="Heading2"/>
      </w:pPr>
      <w:r>
        <w:t>Method</w:t>
      </w:r>
    </w:p>
    <w:p>
      <w:pPr>
        <w:pStyle w:val="Heading3"/>
      </w:pPr>
      <w:r>
        <w:t>Participants</w:t>
      </w:r>
    </w:p>
    <w:p>
      <w:pPr/>
      <w:r>
        <w:t xml:space="preserve">A new sample of 32 four-year-olds (14 female; </w:t>
      </w:r>
      <w:r>
        <w:rPr>
          <w:highlight w:val="yellow"/>
        </w:rPr>
        <w:t>⟦age range in y;m, M⟧</w:t>
      </w:r>
      <w:r>
        <w:t xml:space="preserve">), 32 five-year-olds (18 female; </w:t>
      </w:r>
      <w:r>
        <w:rPr>
          <w:highlight w:val="yellow"/>
        </w:rPr>
        <w:t>⟦age range in y;m, M⟧</w:t>
      </w:r>
      <w:r>
        <w:t xml:space="preserve">), and 40 adults (29 female; 20.8–33.8 years, </w:t>
      </w:r>
      <w:r>
        <w:rPr>
          <w:i/>
        </w:rPr>
        <w:t>M</w:t>
      </w:r>
      <w:r>
        <w:t xml:space="preserve"> = 24.3) was recruited from the same populations as in Experiment 1, with the same consent procedure and compensation.</w:t>
      </w:r>
    </w:p>
    <w:p>
      <w:pPr>
        <w:pStyle w:val="Heading3"/>
      </w:pPr>
      <w:r>
        <w:t>Materials and Procedure</w:t>
      </w:r>
    </w:p>
    <w:p>
      <w:pPr/>
      <w:r>
        <w:t xml:space="preserve">The 40 critical videos were divided into four lists. Each list contained the 10 actions of one set,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pPr/>
      <w:r>
        <w:t xml:space="preserve">All 10 pairs are included in the analyses of Experiment 2, because these analyses compare result conditions and do not require the actions to be assigned to sets. Analyses restricted to the eight retained pairs are reported as a sensitivity check. </w:t>
      </w:r>
      <w:r>
        <w:rPr>
          <w:highlight w:val="yellow"/>
        </w:rPr>
        <w:t>⟦请确认 Exp 2 用全部 10 对⟧</w:t>
      </w:r>
    </w:p>
    <w:p>
      <w:pPr>
        <w:pStyle w:val="Heading3"/>
      </w:pPr>
      <w:r>
        <w:t>Coding</w:t>
      </w:r>
    </w:p>
    <w:p>
      <w:pPr/>
      <w:r>
        <w:t xml:space="preserve">The coding unit is the complete response to a video, including information expressed across clauses. Responses were recoded from the transcripts for the present analyses. </w:t>
      </w:r>
      <w:r>
        <w:rPr>
          <w:highlight w:val="yellow"/>
        </w:rPr>
        <w:t>⟦第二名编码员及一致性待补⟧</w:t>
      </w:r>
      <w:r>
        <w:t xml:space="preserve"> Nonresponses and responses without a verb are excluded and reported.</w:t>
      </w:r>
    </w:p>
    <w:p>
      <w:pPr/>
      <w:r>
        <w:rPr>
          <w:b/>
        </w:rPr>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pPr/>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 </w:t>
      </w:r>
      <w:r>
        <w:rPr>
          <w:highlight w:val="yellow"/>
        </w:rPr>
        <w:t>⟦注意：0507 稿把 bǎ 句中的谓语一律编为 RVC，这里改了⟧</w:t>
      </w:r>
      <w:r>
        <w:t xml:space="preserve"> Whether a mentioned result is affirmed or denied is recorded, so that responses affirming the target result in a zero-result event can be identified.</w:t>
      </w:r>
    </w:p>
    <w:p>
      <w:pPr/>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pPr>
        <w:pStyle w:val="Heading2"/>
      </w:pPr>
      <w:r>
        <w:t>Analysis Plan</w:t>
      </w:r>
    </w:p>
    <w:p>
      <w:pPr/>
      <w:r>
        <w:t xml:space="preserve">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and modeled if cell sizes permit. </w:t>
      </w:r>
      <w:r>
        <w:rPr>
          <w:highlight w:val="yellow"/>
        </w:rPr>
        <w:t>⟦待定：多分类模型还是仅描述⟧</w:t>
      </w:r>
      <w:r>
        <w:t xml:space="preserve"> Responses that affirm the target result in zero-result events are counted by age group. The adult ratings are not used in these analyses.</w:t>
      </w:r>
    </w:p>
    <w:p>
      <w:pPr>
        <w:pStyle w:val="Heading2"/>
      </w:pPr>
      <w:r>
        <w:t>Results</w:t>
      </w:r>
    </w:p>
    <w:p>
      <w:pPr/>
      <w:r>
        <w:rPr>
          <w:highlight w:val="yellow"/>
        </w:rPr>
        <w:t>⟦待补：按新的编码方案（完整回答为单位）重新编码并分析后报告。⟧</w:t>
      </w:r>
    </w:p>
    <w:p>
      <w:pPr>
        <w:pStyle w:val="Heading1"/>
      </w:pPr>
      <w:r>
        <w:t>General Discussion</w:t>
      </w:r>
    </w:p>
    <w:p>
      <w:pPr/>
      <w:r>
        <w:rPr>
          <w:highlight w:val="yellow"/>
        </w:rPr>
        <w:t>⟦本节为计划稿，将根据结果修改。⟧</w:t>
      </w:r>
    </w:p>
    <w:p>
      <w:pPr/>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pPr>
        <w:pStyle w:val="Heading2"/>
      </w:pPr>
      <w:r>
        <w:t>RVC and V1 Descriptions</w:t>
      </w:r>
    </w:p>
    <w:p>
      <w:pPr/>
      <w:r>
        <w:t>A larger effect of result realization on RVC than on V1 descriptions would show that children treat a result expressed by V2 differently from a result that is only associated with the action named by V1. Previous studies have shown this distinction in 5-year-olds (J. Liu et al., 2026) and in a small group of children around 4;6 (Chen, 2017). If 4-year-olds show the same interaction as 5-year-olds, the distinction is in place by 4 years of age for the events tested here; if the interaction is weaker in 4-year-olds, it continues to develop between 4 and 5. In either case, the conclusion concerns the selected RVCs and events, not RVC semantics or telicity in general. A smaller difference between the two forms in children than in adults would replicate the finding that children judge V1 descriptions of events without the result more strictly than adults do (Chen, 2017; J. Liu et al., 2026).</w:t>
      </w:r>
    </w:p>
    <w:p>
      <w:pPr>
        <w:pStyle w:val="Heading2"/>
      </w:pPr>
      <w:r>
        <w:t>Action–Result Association and V1 Descriptions</w:t>
      </w:r>
    </w:p>
    <w:p>
      <w:pPr/>
      <w:r>
        <w:t>If children reject V1 descriptions of zero-result events more often when the V1 names an action strongly associated with the target result, their stricter judgments are not uniform across V1s but vary with the relation between the depicted action and the result. Chen (2017) found differences among V1s, but each V1 was presented with a different object and result. Because the present design holds the object and the target result constant within pairs, a difference between sets cannot be attributed to differences between objects or results. It would show that, for children, what a V1 description conveys about a result depends on how the named action relates to that result. A difference between sets in adults would show the same for mature interpretation, consistent with the cline in adults’ acceptance of result cancellation (Chen, 2018) and with evidence that comprehenders’ expectations about events depend on the combination of a verb with its arguments (Bicknell et al., 2010; McRae &amp; Matsuki, 2009).</w:t>
      </w:r>
    </w:p>
    <w:p>
      <w:pPr/>
      <w:r>
        <w:rPr/>
        <w:t xml:space="preserve">Why action–result association might matter is not settled by previous work. Accounts of monomorphemic verbs hold that a verb can imply a result without entailing it and that the strength of the implication varies, whether across verbs (Chen, 2018) or across </w:t>
      </w:r>
      <w:r>
        <w:rPr/>
        <w:t>fulfillment</w:t>
      </w:r>
      <w:r>
        <w:rPr/>
        <w:t xml:space="preserve">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2021), a failed attempt at a typical means may make a V1 description less acceptable. The two dimensions usually go together but need not coincide (Kim &amp; Murphy, 2011). These possibilities are offered as interpretations of a difference between sets, not as hypotheses the study was designed to test.</w:t>
      </w:r>
    </w:p>
    <w:p>
      <w:pPr/>
      <w:r>
        <w:t>A larger difference between sets in children than in adults would locate children’s stricter judgments mainly in V1s that name strongly associated actions. This pattern is compatible with three explanations that the binary task cannot separate: Children may find it harder than adults to set aside an inference that the result occurred, may reject a true description as inadequate because it leaves an expected result unaddressed, or may judge a failed attempt to be a poor instance of the action. The pragmatic explanation fits less naturally with a larger difference in children, because children tend to be more tolerant than adults of underinformative descriptions in binary judgment tasks (Katsos &amp; Bishop, 2011). Because adult acceptance in zero-result events may approach ceiling, however, a larger child difference on the probability scale could partly reflect the adult ceiling, which is why the comparison is evaluated on the log-odds scale.</w:t>
      </w:r>
    </w:p>
    <w:p>
      <w:pPr/>
      <w:r>
        <w:t xml:space="preserve">Because the stronger- and weaker-association expressions differ in both rated likelihood and rated typicality, the study cannot determine which dimension, or what the two share, underlies a difference between sets; the two ratings diverged only in Pair 7, which was excluded. The difference between sets also goes together with a difference in the conventionality of the corresponding RVCs. A child who often hears </w:t>
      </w:r>
      <w:r>
        <w:rPr>
          <w:i/>
        </w:rPr>
        <w:t>chuī-miè</w:t>
      </w:r>
      <w:r>
        <w:t xml:space="preserve"> “blow-extinguished” may come to expect a candle to go out after </w:t>
      </w:r>
      <w:r>
        <w:rPr>
          <w:i/>
        </w:rPr>
        <w:t>chuī</w:t>
      </w:r>
      <w:r>
        <w:t xml:space="preserve"> “blow,” so familiarity with the RVC offers an alternative account of a difference between sets. This account is not incompatible with the association account, because an action that reliably brings about a result is also likely to be described often with the corresponding RVC, but the present materials cannot separate the two.</w:t>
      </w:r>
    </w:p>
    <w:p>
      <w:pPr>
        <w:pStyle w:val="Heading2"/>
      </w:pPr>
      <w:r>
        <w:t>Form and Information in Production</w:t>
      </w:r>
    </w:p>
    <w:p>
      <w:pPr/>
      <w:r>
        <w:t xml:space="preserve">Comparing RVC use with mention of the target result separates the forms children use from the information they express. If both decline in zero-result events, speakers describing a failed attempt tend to leave the result unmentioned rather than express it in another form. If children mention the result without an RVC more often than adults, for example by naming the result alone or in a separate predicate, their lower RVC use reflects how they package the information rather than less attention to the result. In either case, RVC frequency alone cannot show whether children encode a result. Mentions of the result in zero-result events, typically negated as in </w:t>
      </w:r>
      <w:r>
        <w:rPr>
          <w:i/>
        </w:rPr>
        <w:t>méi bāo-kāi</w:t>
      </w:r>
      <w:r>
        <w:t xml:space="preserve"> “did not peel open,” indicate that the speaker treated the absent result as relevant to the event, and responses that affirm the target result in a zero-result event would indicate that a speaker described an unattained result as attained. Because the two experiments tested independent samples, links between comprehension and production hold at the group level only.</w:t>
      </w:r>
    </w:p>
    <w:p>
      <w:pPr>
        <w:pStyle w:val="Heading2"/>
      </w:pPr>
      <w:r>
        <w:t>Limitations and Future Directions</w:t>
      </w:r>
    </w:p>
    <w:p>
      <w:pPr/>
      <w:r>
        <w:t xml:space="preserve">Several limitations follow from the design.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tī</w:t>
      </w:r>
      <w: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Fourth, with eight pairs and sets assigned between participants, each difference between sets rests on few items and small groups, and item-level estimates are descriptive; in addition, the ratings were collected and two pairs excluded after an initial analysis of the same children’s data, so the eight-pair results should be read together with the 10-pair analyses, and a difference between sets needs to be replicated with a new sample of children. Fifth, the ratings describe expressions rather than videos, and the videos did not always elicit the intended V1. Finally, children and adults were tested in different modalities, and comprehension and production were tested in independent samples.</w:t>
      </w:r>
    </w:p>
    <w:p>
      <w:pPr>
        <w:pStyle w:val="Heading1"/>
      </w:pPr>
      <w:r>
        <w:t>Conclusion</w:t>
      </w:r>
    </w:p>
    <w:p>
      <w:pPr/>
      <w:r>
        <w:t xml:space="preserve">This study examines how Mandarin-speaking 4- and 5-year-olds interpret and describe events in which an action does or does not bring about a target result. Comparing RVC and V1 descriptions tests whether children distinguish a result expressed by V2 from one that is only associated with the action named by V1. Comparing V1s that name actions on the same object, but differ in how strongly those actions are associated with the same result, tests whether children’s interpretation of V1 descriptions varies with the relation between the action and the result rather than with the verb alone. Comparing RVC use with mention of the result in production asks whether children who use fewer RVCs also leave the result unexpressed. </w:t>
      </w:r>
      <w:r>
        <w:rPr>
          <w:highlight w:val="yellow"/>
        </w:rPr>
        <w:t>⟦结论待根据结果改写⟧</w:t>
      </w:r>
    </w:p>
    <w:p w14:paraId="4F1628DC" w14:textId="77777777" w:rsidR="008215DC" w:rsidRDefault="00000000">
      <w:pPr>
        <w:pStyle w:val="Heading1"/>
        <w:pageBreakBefore/>
      </w:pPr>
      <w:r>
        <w:rPr/>
        <w:lastRenderedPageBreak/>
        <w:t>References</w:t>
      </w:r>
    </w:p>
    <w:p>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202A5318" w14:textId="77777777" w:rsidR="008215DC" w:rsidRDefault="00000000">
      <w:pPr>
        <w:pStyle w:val="Reference"/>
      </w:pPr>
      <w:r>
        <w:rPr/>
        <w:t xml:space="preserve">Barsalou, L. W. (1985). Ideals, central tendency, and frequency of instantiation as determinants of graded structure in categories. </w:t>
      </w:r>
      <w:r>
        <w:rPr>
          <w:i/>
          <w:iCs/>
        </w:rPr>
        <w:t>Journal of Experimental Psychology: Learning, Memory, and Cognition, 11</w:t>
      </w:r>
      <w:r>
        <w:rPr/>
        <w:t>(4), 629–654. https://doi.org/10.1037/0278-7393.11.1-4.629</w:t>
      </w:r>
    </w:p>
    <w:p w14:paraId="12C28B06" w14:textId="77777777" w:rsidR="008215DC" w:rsidRDefault="00000000">
      <w:pPr>
        <w:pStyle w:val="Reference"/>
      </w:pPr>
      <w:r w:rsidRPr="005B1EF1">
        <w:rPr/>
        <w:t xml:space="preserve">Bicknell, K., Elman, J. L., Hare, M., McRae, K., &amp; Kutas, M. (2010). </w:t>
      </w:r>
      <w:r>
        <w:rPr/>
        <w:t xml:space="preserve">Effects of event knowledge in processing verbal arguments. </w:t>
      </w:r>
      <w:r>
        <w:rPr>
          <w:i/>
          <w:iCs/>
        </w:rPr>
        <w:t>Journal of Memory and Language, 63</w:t>
      </w:r>
      <w:r>
        <w:rPr/>
        <w:t>(4), 489–505. https://doi.org/10.1016/j.jml.2010.08.004</w:t>
      </w:r>
    </w:p>
    <w:p>
      <w:pPr>
        <w:pStyle w:val="Reference"/>
      </w:pPr>
      <w:r>
        <w:t xml:space="preserve">Bürkner, P.-C. (2017). brms: An R package for Bayesian multilevel models using Stan. </w:t>
      </w:r>
      <w:r>
        <w:rPr>
          <w:i/>
        </w:rPr>
        <w:t>Journal of Statistical Software, 80</w:t>
      </w:r>
      <w:r>
        <w:t>(1), 1–28. https://doi.org/10.18637/jss.v080.i01</w:t>
      </w:r>
    </w:p>
    <w:p w14:paraId="4C5C2DB6" w14:textId="77777777" w:rsidR="008215DC" w:rsidRDefault="00000000">
      <w:pPr>
        <w:pStyle w:val="Reference"/>
      </w:pPr>
      <w:r>
        <w:rPr/>
        <w:t xml:space="preserve">Chen, J. (2008). </w:t>
      </w:r>
      <w:r>
        <w:rPr>
          <w:i/>
          <w:iCs/>
        </w:rPr>
        <w:t>The acquisition of verb compounding in Mandarin Chinese</w:t>
      </w:r>
      <w:r>
        <w:rPr/>
        <w:t xml:space="preserve"> [Doctoral dissertation, Vrije Universiteit Amsterdam]. LOT.</w:t>
      </w:r>
    </w:p>
    <w:p w14:paraId="0752725E" w14:textId="77777777" w:rsidR="008215DC" w:rsidRDefault="00000000">
      <w:pPr>
        <w:pStyle w:val="Reference"/>
      </w:pPr>
      <w:r>
        <w:rPr/>
        <w:t xml:space="preserve">Chen, J. (2017). When transparency doesn’t mean ease: Learning the meaning of resultative verb compounds in Mandarin Chinese. </w:t>
      </w:r>
      <w:r>
        <w:rPr>
          <w:i/>
          <w:iCs/>
        </w:rPr>
        <w:t>Journal of Child Language, 44</w:t>
      </w:r>
      <w:r>
        <w:rPr/>
        <w:t>(3), 695–718. https://doi.org/10.1017/S0305000916000192</w:t>
      </w:r>
    </w:p>
    <w:p w14:paraId="00FA2C10" w14:textId="77777777" w:rsidR="008215DC" w:rsidRDefault="00000000">
      <w:pPr>
        <w:pStyle w:val="Reference"/>
      </w:pPr>
      <w:r>
        <w:rPr/>
        <w:t xml:space="preserve">Chen, J. (2018). “He killed a chicken, but it didn’t die”: An empirical study of the lexicalization of state change in Mandarin monomorphemic verbs. </w:t>
      </w:r>
      <w:r>
        <w:rPr>
          <w:i/>
          <w:iCs/>
        </w:rPr>
        <w:t>Chinese Language and Discourse, 9</w:t>
      </w:r>
      <w:r>
        <w:rPr/>
        <w:t>(2), 136–161. https://doi.org/10.1075/cld.17007.che</w:t>
      </w:r>
    </w:p>
    <w:p w14:paraId="1878FFDD" w14:textId="77777777" w:rsidR="008215DC" w:rsidRDefault="00000000">
      <w:pPr>
        <w:pStyle w:val="Reference"/>
      </w:pPr>
      <w:r>
        <w:rPr/>
        <w:t xml:space="preserve">Deng, X. (2019). The acquisition of resultative verb compounds in Mandarin Chinese. </w:t>
      </w:r>
      <w:r>
        <w:rPr>
          <w:i/>
          <w:iCs/>
        </w:rPr>
        <w:t>Journal of Chinese Linguistics, 47</w:t>
      </w:r>
      <w:r>
        <w:rPr/>
        <w:t>(1), 42–81. https://doi.org/10.1353/jcl.2019.0002</w:t>
      </w:r>
    </w:p>
    <w:p w14:paraId="74FC6E8A" w14:textId="77777777" w:rsidR="008215DC" w:rsidRDefault="00000000">
      <w:pPr>
        <w:pStyle w:val="Reference"/>
      </w:pPr>
      <w:r>
        <w:rPr/>
        <w:t xml:space="preserve">Han, P. (2021). </w:t>
      </w:r>
      <w:proofErr w:type="spellStart"/>
      <w:r>
        <w:rPr/>
        <w:t>Reanalyzing</w:t>
      </w:r>
      <w:proofErr w:type="spellEnd"/>
      <w:r>
        <w:rP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rPr/>
        <w:t xml:space="preserve">(2), 191–222. https://doi.org/10.1017/cnj.2021.11 </w:t>
      </w:r>
      <w:r>
        <w:rPr>
          <w:highlight w:val="yellow"/>
        </w:rPr>
        <w:t>⟦</w:t>
      </w:r>
      <w:proofErr w:type="spellStart"/>
      <w:r>
        <w:rPr>
          <w:highlight w:val="yellow"/>
        </w:rPr>
        <w:t>待核：页码</w:t>
      </w:r>
      <w:proofErr w:type="spellEnd"/>
      <w:r>
        <w:rPr>
          <w:highlight w:val="yellow"/>
        </w:rPr>
        <w:t>⟧</w:t>
      </w:r>
    </w:p>
    <w:p w14:paraId="1329A4C0" w14:textId="77777777" w:rsidR="008215DC" w:rsidRDefault="00000000">
      <w:pPr>
        <w:pStyle w:val="Reference"/>
      </w:pPr>
      <w:r>
        <w:rPr/>
        <w:t xml:space="preserve">Hsu, N., Rispoli, M., &amp; Hadley, P. A. (2019). Mastering the grammar of complex events: Evidence from Mandarin resultative verb compounds. </w:t>
      </w:r>
      <w:r>
        <w:rPr>
          <w:i/>
          <w:iCs/>
        </w:rPr>
        <w:t>Language Learning and Development, 15</w:t>
      </w:r>
      <w:r>
        <w:rPr/>
        <w:t>(3), 255–277. https://doi.org/10.1080/15475441.2019.1590204</w:t>
      </w:r>
    </w:p>
    <w:p w14:paraId="3FA21851" w14:textId="77777777" w:rsidR="008215DC" w:rsidRDefault="00000000">
      <w:pPr>
        <w:pStyle w:val="Reference"/>
      </w:pPr>
      <w:r>
        <w:rPr/>
        <w:lastRenderedPageBreak/>
        <w:t xml:space="preserve">Huang, C.-T. J. (2006). Resultatives and </w:t>
      </w:r>
      <w:proofErr w:type="spellStart"/>
      <w:r>
        <w:rPr/>
        <w:t>unaccusatives</w:t>
      </w:r>
      <w:proofErr w:type="spellEnd"/>
      <w:r>
        <w:rPr/>
        <w:t xml:space="preserve">: A parametric view. </w:t>
      </w:r>
      <w:r>
        <w:rPr>
          <w:i/>
          <w:iCs/>
        </w:rPr>
        <w:t>Bulletin of the Chinese Linguistic Society of Japan, 2006</w:t>
      </w:r>
      <w:r>
        <w:rPr/>
        <w:t>(253), 1–43. https://doi.org/10.7131/chuugokugogaku.2006.1</w:t>
      </w:r>
    </w:p>
    <w:p w14:paraId="488BA89A" w14:textId="77777777" w:rsidR="008215DC" w:rsidRDefault="00000000">
      <w:pPr>
        <w:pStyle w:val="Reference"/>
      </w:pPr>
      <w:r w:rsidRPr="005B1EF1">
        <w:rPr/>
        <w:t xml:space="preserve">Katsos, N., &amp; Bishop, D. V. M. (2011). </w:t>
      </w:r>
      <w:r>
        <w:rPr/>
        <w:t xml:space="preserve">Pragmatic tolerance: Implications for the acquisition of informativeness and implicature. </w:t>
      </w:r>
      <w:r>
        <w:rPr>
          <w:i/>
          <w:iCs/>
        </w:rPr>
        <w:t>Cognition, 120</w:t>
      </w:r>
      <w:r>
        <w:rPr/>
        <w:t>(1), 67–81. https://doi.org/10.1016/j.cognition.2011.02.015</w:t>
      </w:r>
    </w:p>
    <w:p w14:paraId="30CFF93B" w14:textId="77777777" w:rsidR="008215DC" w:rsidRDefault="00000000">
      <w:pPr>
        <w:pStyle w:val="Reference"/>
      </w:pPr>
      <w:r>
        <w:rPr/>
        <w:t xml:space="preserve">Kim, S., &amp; Murphy, G. L. (2011). Ideals and category typicality. </w:t>
      </w:r>
      <w:r>
        <w:rPr>
          <w:i/>
          <w:iCs/>
        </w:rPr>
        <w:t>Journal of Experimental Psychology: Learning, Memory, and Cognition, 37</w:t>
      </w:r>
      <w:r>
        <w:rPr/>
        <w:t>(5), 1092–1112. https://doi.org/10.1037/a0023916</w:t>
      </w:r>
    </w:p>
    <w:p w14:paraId="35992BBE" w14:textId="77777777" w:rsidR="008215DC" w:rsidRPr="005B1EF1" w:rsidRDefault="00000000">
      <w:pPr>
        <w:pStyle w:val="Reference"/>
        <w:rPr>
          <w:lang w:val="de-DE"/>
        </w:rPr>
      </w:pPr>
      <w:r>
        <w:rPr/>
        <w:t xml:space="preserve">Kou, X., &amp; Hohenstein, J. (2022). </w:t>
      </w:r>
      <w:proofErr w:type="spellStart"/>
      <w:r>
        <w:rPr/>
        <w:t>Fulfillment</w:t>
      </w:r>
      <w:proofErr w:type="spellEnd"/>
      <w:r>
        <w:rPr/>
        <w:t xml:space="preserve"> types in Realization events: Definition, distinctions, and diagnostics. </w:t>
      </w:r>
      <w:r w:rsidRPr="005B1EF1">
        <w:rPr>
          <w:i/>
          <w:iCs/>
        </w:rPr>
        <w:t>Lingua, 269</w:t>
      </w:r>
      <w:r w:rsidRPr="005B1EF1">
        <w:rPr/>
        <w:t>, Article 103204. https://doi.org/10.1016/j.lingua.2021.103204</w:t>
      </w:r>
    </w:p>
    <w:p w14:paraId="502FF3A9" w14:textId="77777777" w:rsidR="008215DC" w:rsidRDefault="00000000">
      <w:pPr>
        <w:pStyle w:val="Reference"/>
      </w:pPr>
      <w:r w:rsidRPr="005B1EF1">
        <w:rPr/>
        <w:t xml:space="preserve">Kou, X., &amp; Hohenstein, J. (2024). </w:t>
      </w:r>
      <w:r>
        <w:rPr/>
        <w:t xml:space="preserve">Manner, result, and intention: Implications for event typology from a cognitive account of verb semantics based on fulfilment types. </w:t>
      </w:r>
      <w:r>
        <w:rPr>
          <w:i/>
          <w:iCs/>
        </w:rPr>
        <w:t>Language and Cognition, 16</w:t>
      </w:r>
      <w:r>
        <w:rPr/>
        <w:t>(4), 1053–1078. https://doi.org/10.1017/langcog.2023.72</w:t>
      </w:r>
    </w:p>
    <w:p w14:paraId="5AA379DA" w14:textId="77777777" w:rsidR="008215DC" w:rsidRDefault="00000000">
      <w:pPr>
        <w:pStyle w:val="Reference"/>
      </w:pPr>
      <w:r>
        <w:rPr/>
        <w:t xml:space="preserve">Li, C. N., &amp; Thompson, S. A. (1981). </w:t>
      </w:r>
      <w:r>
        <w:rPr>
          <w:i/>
          <w:iCs/>
        </w:rPr>
        <w:t>Mandarin Chinese: A functional reference grammar</w:t>
      </w:r>
      <w:r>
        <w:rPr/>
        <w:t>. University of California Press.</w:t>
      </w:r>
    </w:p>
    <w:p w14:paraId="4C8689C5" w14:textId="77777777" w:rsidR="008215DC" w:rsidRDefault="00000000">
      <w:pPr>
        <w:pStyle w:val="Reference"/>
      </w:pPr>
      <w:r>
        <w:rPr/>
        <w:t xml:space="preserve">Li, P., &amp; Bowerman, M. (1998). The acquisition of lexical and grammatical aspect in Chinese. </w:t>
      </w:r>
      <w:r>
        <w:rPr>
          <w:i/>
          <w:iCs/>
        </w:rPr>
        <w:t>First Language, 18</w:t>
      </w:r>
      <w:r>
        <w:rPr/>
        <w:t>(54), 311–350. https://doi.org/10.1177/014272379801805404</w:t>
      </w:r>
    </w:p>
    <w:p w14:paraId="606021C8" w14:textId="77777777" w:rsidR="008215DC" w:rsidRDefault="00000000">
      <w:pPr>
        <w:pStyle w:val="Reference"/>
      </w:pPr>
      <w:r>
        <w:rPr/>
        <w:t xml:space="preserve">Li, Y. (1990). On V-V compounds in Chinese. </w:t>
      </w:r>
      <w:r>
        <w:rPr>
          <w:i/>
          <w:iCs/>
        </w:rPr>
        <w:t>Natural Language &amp; Linguistic Theory, 8</w:t>
      </w:r>
      <w:r>
        <w:rPr/>
        <w:t>(2), 177–207. https://doi.org/10.1007/BF00208523</w:t>
      </w:r>
    </w:p>
    <w:p w14:paraId="62FCDFFA" w14:textId="77777777" w:rsidR="008215DC" w:rsidRDefault="00000000">
      <w:pPr>
        <w:pStyle w:val="Reference"/>
      </w:pPr>
      <w:r>
        <w:rPr/>
        <w:t xml:space="preserve">Li, Y. (1995). The thematic hierarchy and </w:t>
      </w:r>
      <w:proofErr w:type="spellStart"/>
      <w:r>
        <w:rPr/>
        <w:t>causativity</w:t>
      </w:r>
      <w:proofErr w:type="spellEnd"/>
      <w:r>
        <w:rPr/>
        <w:t xml:space="preserve">. </w:t>
      </w:r>
      <w:r>
        <w:rPr>
          <w:i/>
          <w:iCs/>
        </w:rPr>
        <w:t>Natural Language &amp; Linguistic Theory, 13</w:t>
      </w:r>
      <w:r>
        <w:rPr/>
        <w:t>(2), 255–282. https://doi.org/10.1007/BF00992783</w:t>
      </w:r>
    </w:p>
    <w:p w14:paraId="1A29705C" w14:textId="77777777" w:rsidR="008215DC" w:rsidRDefault="00000000">
      <w:pPr>
        <w:pStyle w:val="Reference"/>
      </w:pPr>
      <w:r>
        <w:rPr/>
        <w:lastRenderedPageBreak/>
        <w:t xml:space="preserve">Liu, J. (2018). </w:t>
      </w:r>
      <w:r>
        <w:rPr>
          <w:i/>
          <w:iCs/>
        </w:rPr>
        <w:t>(Non-culminating) accomplishments in child and adult Mandarin</w:t>
      </w:r>
      <w:r>
        <w:rPr/>
        <w:t xml:space="preserve"> [Doctoral dissertation, Université de Nantes]. </w:t>
      </w:r>
      <w:r>
        <w:rPr>
          <w:highlight w:val="yellow"/>
        </w:rPr>
        <w:t>⟦</w:t>
      </w:r>
      <w:proofErr w:type="spellStart"/>
      <w:r>
        <w:rPr>
          <w:highlight w:val="yellow"/>
        </w:rPr>
        <w:t>待核：题名与链接</w:t>
      </w:r>
      <w:proofErr w:type="spellEnd"/>
      <w:r>
        <w:rPr>
          <w:highlight w:val="yellow"/>
        </w:rPr>
        <w:t>⟧</w:t>
      </w:r>
    </w:p>
    <w:p w14:paraId="42C83A89" w14:textId="77777777" w:rsidR="008215DC" w:rsidRDefault="00000000">
      <w:pPr>
        <w:pStyle w:val="Reference"/>
      </w:pPr>
      <w:r>
        <w:rPr/>
        <w:t xml:space="preserve">Liu, J., van Hout, A., &amp; </w:t>
      </w:r>
      <w:proofErr w:type="spellStart"/>
      <w:r>
        <w:rPr/>
        <w:t>Demirdache</w:t>
      </w:r>
      <w:proofErr w:type="spellEnd"/>
      <w:r>
        <w:rPr/>
        <w:t xml:space="preserve">, H. (2026). Mandarin children’s acquisition of event culmination. </w:t>
      </w:r>
      <w:r>
        <w:rPr>
          <w:i/>
          <w:iCs/>
        </w:rPr>
        <w:t>Languages, 11</w:t>
      </w:r>
      <w:r>
        <w:rPr/>
        <w:t>(9), Article 190. https://doi.org/10.3390/languages11090190</w:t>
      </w:r>
    </w:p>
    <w:p w14:paraId="167A6DB1" w14:textId="77777777" w:rsidR="008215DC" w:rsidRDefault="00000000">
      <w:pPr>
        <w:pStyle w:val="Reference"/>
      </w:pPr>
      <w:r>
        <w:rPr/>
        <w:t xml:space="preserve">Ma, W., Golinkoff, R. M., Song, L., &amp; Hirsh-Pasek, K. (2021). Using verb extension to gauge children’s verb meaning </w:t>
      </w:r>
      <w:proofErr w:type="spellStart"/>
      <w:r>
        <w:rPr/>
        <w:t>construals</w:t>
      </w:r>
      <w:proofErr w:type="spellEnd"/>
      <w:r>
        <w:rPr/>
        <w:t xml:space="preserve">: The case of Chinese. </w:t>
      </w:r>
      <w:r>
        <w:rPr>
          <w:i/>
          <w:iCs/>
        </w:rPr>
        <w:t>Frontiers in Psychology, 11</w:t>
      </w:r>
      <w:r>
        <w:rPr/>
        <w:t>, Article 572198. https://doi.org/10.3389/fpsyg.2020.572198</w:t>
      </w:r>
    </w:p>
    <w:p w14:paraId="71CEE38F" w14:textId="77777777" w:rsidR="008215DC" w:rsidRDefault="00000000">
      <w:pPr>
        <w:pStyle w:val="Reference"/>
      </w:pPr>
      <w:r>
        <w:rPr/>
        <w:t xml:space="preserve">Martin, F., Sun, H., Liu, J., &amp; </w:t>
      </w:r>
      <w:proofErr w:type="spellStart"/>
      <w:r>
        <w:rPr/>
        <w:t>Demirdache</w:t>
      </w:r>
      <w:proofErr w:type="spellEnd"/>
      <w:r>
        <w:rPr/>
        <w:t xml:space="preserve">, H. (2023). On the zero-change construal of causative simple verbs in Mandarin Chinese. In P. Liu, E. </w:t>
      </w:r>
      <w:proofErr w:type="spellStart"/>
      <w:r>
        <w:rPr/>
        <w:t>Sjovall</w:t>
      </w:r>
      <w:proofErr w:type="spellEnd"/>
      <w:r>
        <w:rPr/>
        <w:t xml:space="preserve">, X. Sun, P. Berezovskaya, &amp; V. </w:t>
      </w:r>
      <w:proofErr w:type="spellStart"/>
      <w:r>
        <w:rPr/>
        <w:t>Hohaus</w:t>
      </w:r>
      <w:proofErr w:type="spellEnd"/>
      <w:r>
        <w:rPr/>
        <w:t xml:space="preserve"> (Eds.), </w:t>
      </w:r>
      <w:r>
        <w:rPr>
          <w:i/>
          <w:iCs/>
        </w:rPr>
        <w:t xml:space="preserve">Proceedings of </w:t>
      </w:r>
      <w:proofErr w:type="spellStart"/>
      <w:r>
        <w:rPr>
          <w:i/>
          <w:iCs/>
        </w:rPr>
        <w:t>TripleA</w:t>
      </w:r>
      <w:proofErr w:type="spellEnd"/>
      <w:r>
        <w:rPr>
          <w:i/>
          <w:iCs/>
        </w:rPr>
        <w:t xml:space="preserve"> 7</w:t>
      </w:r>
      <w:r>
        <w:rPr/>
        <w:t xml:space="preserve">. Universität Tübingen. </w:t>
      </w:r>
      <w:r>
        <w:rPr>
          <w:highlight w:val="yellow"/>
        </w:rPr>
        <w:t>⟦</w:t>
      </w:r>
      <w:proofErr w:type="spellStart"/>
      <w:r>
        <w:rPr>
          <w:highlight w:val="yellow"/>
        </w:rPr>
        <w:t>待核：页码与链接</w:t>
      </w:r>
      <w:proofErr w:type="spellEnd"/>
      <w:r>
        <w:rPr>
          <w:highlight w:val="yellow"/>
        </w:rPr>
        <w:t>⟧</w:t>
      </w:r>
    </w:p>
    <w:p w14:paraId="28FCD0FF" w14:textId="77777777" w:rsidR="008215DC" w:rsidRDefault="00000000">
      <w:pPr>
        <w:pStyle w:val="Reference"/>
      </w:pPr>
      <w:r>
        <w:rPr/>
        <w:t xml:space="preserve">McRae, K., &amp; Matsuki, K. (2009). People use their knowledge of common events to understand </w:t>
      </w:r>
      <w:proofErr w:type="gramStart"/>
      <w:r>
        <w:rPr/>
        <w:t>language, and</w:t>
      </w:r>
      <w:proofErr w:type="gramEnd"/>
      <w:r>
        <w:rPr/>
        <w:t xml:space="preserve"> do so as quickly as possible. </w:t>
      </w:r>
      <w:r>
        <w:rPr>
          <w:i/>
          <w:iCs/>
        </w:rPr>
        <w:t>Language and Linguistics Compass, 3</w:t>
      </w:r>
      <w:r>
        <w:rPr/>
        <w:t>(6), 1417–1429. https://doi.org/10.1111/j.1749-818X.2009.00174.x</w:t>
      </w:r>
    </w:p>
    <w:p>
      <w:pPr>
        <w:pStyle w:val="Reference"/>
      </w:pPr>
      <w:r>
        <w:t xml:space="preserve">R Core Team. (2024). </w:t>
      </w:r>
      <w:r>
        <w:rPr>
          <w:i/>
        </w:rPr>
        <w:t>R: A language and environment for statistical computing</w:t>
      </w:r>
      <w:r>
        <w:t>. R Foundation for Statistical Computing. https://www.R-project.org/</w:t>
      </w:r>
    </w:p>
    <w:p w14:paraId="05EA9DC8" w14:textId="77777777" w:rsidR="008215DC" w:rsidRDefault="00000000">
      <w:pPr>
        <w:pStyle w:val="Reference"/>
      </w:pPr>
      <w:proofErr w:type="spellStart"/>
      <w:r>
        <w:rPr/>
        <w:t>Skordos</w:t>
      </w:r>
      <w:proofErr w:type="spellEnd"/>
      <w:r>
        <w:rPr/>
        <w:t xml:space="preserve">, D., &amp; </w:t>
      </w:r>
      <w:proofErr w:type="spellStart"/>
      <w:r>
        <w:rPr/>
        <w:t>Papafragou</w:t>
      </w:r>
      <w:proofErr w:type="spellEnd"/>
      <w:r>
        <w:rPr/>
        <w:t xml:space="preserve">, A. (2016). Children’s derivation of scalar implicatures: Alternatives and relevance. </w:t>
      </w:r>
      <w:r>
        <w:rPr>
          <w:i/>
          <w:iCs/>
        </w:rPr>
        <w:t>Cognition, 153</w:t>
      </w:r>
      <w:r>
        <w:rPr/>
        <w:t xml:space="preserve">, 6–18. https://doi.org/10.1016/j.cognition.2016.04.006 </w:t>
      </w:r>
      <w:r>
        <w:rPr>
          <w:highlight w:val="yellow"/>
        </w:rPr>
        <w:t>⟦</w:t>
      </w:r>
      <w:proofErr w:type="spellStart"/>
      <w:r>
        <w:rPr>
          <w:highlight w:val="yellow"/>
        </w:rPr>
        <w:t>待核：DOI</w:t>
      </w:r>
      <w:proofErr w:type="spellEnd"/>
      <w:r>
        <w:rPr>
          <w:highlight w:val="yellow"/>
        </w:rPr>
        <w:t>⟧</w:t>
      </w:r>
    </w:p>
    <w:p>
      <w:pPr>
        <w:pStyle w:val="Reference"/>
      </w:pPr>
      <w:r>
        <w:t xml:space="preserve">Speer, R. (2022). </w:t>
      </w:r>
      <w:r>
        <w:rPr>
          <w:i/>
        </w:rPr>
        <w:t>wordfreq</w:t>
      </w:r>
      <w:r>
        <w:t xml:space="preserve"> (Version 3.0) [Computer software]. Zenodo. https://doi.org/10.5281/zenodo.7199437 </w:t>
      </w:r>
      <w:r>
        <w:rPr>
          <w:highlight w:val="yellow"/>
        </w:rPr>
        <w:t>⟦待核：所用版本为 3.1.1；DOI⟧</w:t>
      </w:r>
    </w:p>
    <w:p w14:paraId="14B3BEA7" w14:textId="77777777" w:rsidR="008215DC" w:rsidRDefault="00000000">
      <w:pPr>
        <w:pStyle w:val="Reference"/>
      </w:pPr>
      <w:r>
        <w:rPr/>
        <w:t xml:space="preserve">Sybesma, R. (1999). </w:t>
      </w:r>
      <w:r>
        <w:rPr>
          <w:i/>
          <w:iCs/>
        </w:rPr>
        <w:t>The Mandarin VP</w:t>
      </w:r>
      <w:r>
        <w:rPr/>
        <w:t>. Kluwer Academic.</w:t>
      </w:r>
    </w:p>
    <w:p w14:paraId="4EA5BA99" w14:textId="77777777" w:rsidR="008215DC" w:rsidRDefault="00000000">
      <w:pPr>
        <w:pStyle w:val="Reference"/>
      </w:pPr>
      <w:r>
        <w:rP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rPr/>
        <w:t xml:space="preserve"> (pp. 289–296). Chicago Linguistic Society. </w:t>
      </w:r>
      <w:r>
        <w:rPr>
          <w:highlight w:val="yellow"/>
        </w:rPr>
        <w:t>⟦</w:t>
      </w:r>
      <w:proofErr w:type="spellStart"/>
      <w:r>
        <w:rPr>
          <w:highlight w:val="yellow"/>
        </w:rPr>
        <w:t>待核：题名</w:t>
      </w:r>
      <w:proofErr w:type="spellEnd"/>
      <w:r>
        <w:rPr>
          <w:highlight w:val="yellow"/>
        </w:rPr>
        <w:t xml:space="preserve"> time/times⟧</w:t>
      </w:r>
    </w:p>
    <w:p w14:paraId="46F466AF" w14:textId="77777777" w:rsidR="008215DC" w:rsidRDefault="00000000">
      <w:pPr>
        <w:pStyle w:val="Reference"/>
      </w:pPr>
      <w:proofErr w:type="spellStart"/>
      <w:r>
        <w:rPr/>
        <w:t>Talmy</w:t>
      </w:r>
      <w:proofErr w:type="spellEnd"/>
      <w:r>
        <w:rPr/>
        <w:t xml:space="preserve">, L. (1991). Path to realization: A typology of event conflation. </w:t>
      </w:r>
      <w:r>
        <w:rPr>
          <w:i/>
          <w:iCs/>
        </w:rPr>
        <w:t>Proceedings of the Annual Meeting of the Berkeley Linguistics Society, 17</w:t>
      </w:r>
      <w:r>
        <w:rPr/>
        <w:t>, 480–519. https://doi.org/10.3765/bls.v17i0.1620</w:t>
      </w:r>
    </w:p>
    <w:p w14:paraId="29141F04" w14:textId="77777777" w:rsidR="008215DC" w:rsidRDefault="00000000">
      <w:pPr>
        <w:pStyle w:val="Reference"/>
      </w:pPr>
      <w:proofErr w:type="spellStart"/>
      <w:r>
        <w:rPr/>
        <w:lastRenderedPageBreak/>
        <w:t>Talmy</w:t>
      </w:r>
      <w:proofErr w:type="spellEnd"/>
      <w:r>
        <w:rPr/>
        <w:t xml:space="preserve">, L. (2000). </w:t>
      </w:r>
      <w:r>
        <w:rPr>
          <w:i/>
          <w:iCs/>
        </w:rPr>
        <w:t>Toward a cognitive semantics: Vol. 2. Typology and process in concept structuring</w:t>
      </w:r>
      <w:r>
        <w:rPr/>
        <w:t>. MIT Press.</w:t>
      </w:r>
    </w:p>
    <w:p>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pPr>
        <w:pStyle w:val="Reference"/>
      </w:pPr>
      <w:r>
        <w:t xml:space="preserve">Zhan, W., Guo, R., Chang, B., Chen, Y., &amp; Chen, L. (2019). The building of the CCL corpus: Its design and implementation. </w:t>
      </w:r>
      <w:r>
        <w:rPr>
          <w:i/>
        </w:rPr>
        <w:t>Corpus Linguistics, 6</w:t>
      </w:r>
      <w:r>
        <w:t xml:space="preserve">(1), 71–86. </w:t>
      </w:r>
      <w:r>
        <w:rPr>
          <w:highlight w:val="yellow"/>
        </w:rPr>
        <w:t>⟦待核：作者、题名与卷期⟧</w:t>
      </w:r>
    </w:p>
    <w:sectPr w:rsidR="008215DC">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0147" w14:textId="77777777" w:rsidR="00782C6A" w:rsidRDefault="00782C6A">
      <w:r>
        <w:separator/>
      </w:r>
    </w:p>
  </w:endnote>
  <w:endnote w:type="continuationSeparator" w:id="0">
    <w:p w14:paraId="2C94D978" w14:textId="77777777" w:rsidR="00782C6A" w:rsidRDefault="00782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D075" w14:textId="77777777" w:rsidR="00782C6A" w:rsidRDefault="00782C6A">
      <w:r>
        <w:separator/>
      </w:r>
    </w:p>
  </w:footnote>
  <w:footnote w:type="continuationSeparator" w:id="0">
    <w:p w14:paraId="028863D4" w14:textId="77777777" w:rsidR="00782C6A" w:rsidRDefault="00782C6A">
      <w:r>
        <w:continuationSeparator/>
      </w:r>
    </w:p>
  </w:footnote>
  <w:footnote w:id="1">
    <w:p w14:paraId="4438070C" w14:textId="76650FB1" w:rsidR="008215DC" w:rsidRDefault="00000000">
      <w:r>
        <w:rPr>
          <w:rStyle w:val="FootnoteReference"/>
        </w:rPr>
        <w:footnoteRef/>
      </w:r>
      <w:r>
        <w:rPr>
          <w:rFonts w:eastAsia="Times New Roman"/>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rFonts w:eastAsia="Times New Roman"/>
          <w:sz w:val="20"/>
          <w:szCs w:val="20"/>
        </w:rPr>
        <w:t xml:space="preserve">. Throughout, the </w:t>
      </w:r>
      <w:r>
        <w:rPr>
          <w:rFonts w:eastAsia="Times New Roman"/>
          <w:i/>
          <w:iCs/>
          <w:sz w:val="20"/>
          <w:szCs w:val="20"/>
        </w:rPr>
        <w:t>target result</w:t>
      </w:r>
      <w:r>
        <w:rPr>
          <w:rFonts w:eastAsia="Times New Roman"/>
          <w:sz w:val="20"/>
          <w:szCs w:val="20"/>
        </w:rPr>
        <w:t xml:space="preserve"> is the result expressed by V2 in the paired RVC; </w:t>
      </w:r>
      <w:r>
        <w:rPr>
          <w:rFonts w:eastAsia="Times New Roman"/>
          <w:i/>
          <w:iCs/>
          <w:sz w:val="20"/>
          <w:szCs w:val="20"/>
        </w:rPr>
        <w:t>target</w:t>
      </w:r>
      <w:r>
        <w:rPr>
          <w:rFonts w:eastAsia="Times New Roman"/>
          <w:sz w:val="20"/>
          <w:szCs w:val="20"/>
        </w:rPr>
        <w:t xml:space="preserve"> does not imply that the result is intended or expected. In </w:t>
      </w:r>
      <w:r>
        <w:rPr>
          <w:rFonts w:eastAsia="Times New Roman"/>
          <w:i/>
          <w:iCs/>
          <w:sz w:val="20"/>
          <w:szCs w:val="20"/>
        </w:rPr>
        <w:t>full-result</w:t>
      </w:r>
      <w:r>
        <w:rPr>
          <w:rFonts w:eastAsia="Times New Roman"/>
          <w:sz w:val="20"/>
          <w:szCs w:val="20"/>
        </w:rPr>
        <w:t xml:space="preserve"> events the target result is visibly attained; in </w:t>
      </w:r>
      <w:r>
        <w:rPr>
          <w:rFonts w:eastAsia="Times New Roman"/>
          <w:i/>
          <w:iCs/>
          <w:sz w:val="20"/>
          <w:szCs w:val="20"/>
        </w:rPr>
        <w:t>zero-result</w:t>
      </w:r>
      <w:r>
        <w:rPr>
          <w:rFonts w:eastAsia="Times New Roman"/>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29EA" w14:textId="77777777" w:rsidR="008215DC" w:rsidRDefault="00000000">
    <w:pPr>
      <w:jc w:val="right"/>
    </w:pPr>
    <w:r>
      <w:fldChar w:fldCharType="begin"/>
    </w:r>
    <w:r>
      <w:rPr>
        <w:rFonts w:eastAsia="Times New Roman"/>
      </w:rP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197B71"/>
    <w:rsid w:val="003B797C"/>
    <w:rsid w:val="00447DD2"/>
    <w:rsid w:val="00477123"/>
    <w:rsid w:val="004B1F49"/>
    <w:rsid w:val="0055310B"/>
    <w:rsid w:val="005B1EF1"/>
    <w:rsid w:val="005E64BA"/>
    <w:rsid w:val="005F1988"/>
    <w:rsid w:val="00706240"/>
    <w:rsid w:val="00782C6A"/>
    <w:rsid w:val="008215DC"/>
    <w:rsid w:val="009B1284"/>
    <w:rsid w:val="00B64FC7"/>
    <w:rsid w:val="00C3541B"/>
    <w:rsid w:val="00C37B3C"/>
    <w:rsid w:val="00DF4AE6"/>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DC3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pageBreakBefore w:val="0"/>
      <w:spacing w:line="480" w:lineRule="auto" w:before="0" w:after="0"/>
      <w:ind w:firstLine="720"/>
    </w:pPr>
    <w:rPr>
      <w:rFonts w:ascii="Times New Roman" w:hAnsi="Times New Roman" w:cs="Times New Roman" w:eastAsia="Times New Roman"/>
      <w:b w:val="0"/>
      <w:i w:val="0"/>
      <w:color w:val="000000"/>
      <w:sz w:val="24"/>
    </w:rPr>
  </w:style>
  <w:style w:type="paragraph" w:styleId="Heading1">
    <w:name w:val="heading 1"/>
    <w:basedOn w:val="Normal"/>
    <w:next w:val="Normal"/>
    <w:uiPriority w:val="9"/>
    <w:qFormat/>
    <w:pPr>
      <w:keepNext/>
      <w:pageBreakBefore w:val="0"/>
      <w:spacing w:line="480" w:lineRule="auto" w:before="0" w:after="0"/>
      <w:ind w:firstLine="0"/>
      <w:jc w:val="center"/>
      <w:outlineLvl w:val="0"/>
    </w:pPr>
    <w:rPr>
      <w:rFonts w:ascii="Times New Roman" w:hAnsi="Times New Roman" w:cs="Times New Roman" w:eastAsia="Times New Roman"/>
      <w:b/>
      <w:i w:val="0"/>
      <w:color w:val="000000"/>
      <w:sz w:val="24"/>
      <w:szCs w:val="32"/>
    </w:rPr>
  </w:style>
  <w:style w:type="paragraph" w:styleId="Heading2">
    <w:name w:val="heading 2"/>
    <w:basedOn w:val="Normal"/>
    <w:next w:val="Normal"/>
    <w:uiPriority w:val="9"/>
    <w:semiHidden/>
    <w:unhideWhenUsed/>
    <w:qFormat/>
    <w:pPr>
      <w:keepNext/>
      <w:pageBreakBefore w:val="0"/>
      <w:spacing w:line="480" w:lineRule="auto" w:before="0" w:after="0"/>
      <w:ind w:firstLine="0"/>
      <w:jc w:val="left"/>
      <w:outlineLvl w:val="1"/>
    </w:pPr>
    <w:rPr>
      <w:rFonts w:ascii="Times New Roman" w:hAnsi="Times New Roman" w:cs="Times New Roman" w:eastAsia="Times New Roman"/>
      <w:b/>
      <w:i w:val="0"/>
      <w:color w:val="000000"/>
      <w:sz w:val="24"/>
      <w:szCs w:val="26"/>
    </w:rPr>
  </w:style>
  <w:style w:type="paragraph" w:styleId="Heading3">
    <w:name w:val="heading 3"/>
    <w:basedOn w:val="Normal"/>
    <w:next w:val="Normal"/>
    <w:uiPriority w:val="9"/>
    <w:semiHidden/>
    <w:unhideWhenUsed/>
    <w:qFormat/>
    <w:pPr>
      <w:keepNext/>
      <w:pageBreakBefore w:val="0"/>
      <w:spacing w:line="480" w:lineRule="auto" w:before="0" w:after="0"/>
      <w:ind w:firstLine="0"/>
      <w:jc w:val="left"/>
      <w:outlineLvl w:val="2"/>
    </w:pPr>
    <w:rPr>
      <w:rFonts w:ascii="Times New Roman" w:hAnsi="Times New Roman" w:cs="Times New Roman" w:eastAsia="Times New Roman"/>
      <w:b/>
      <w:i/>
      <w:color w:val="000000"/>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val="0"/>
      <w:pageBreakBefore w:val="0"/>
      <w:spacing w:line="480" w:lineRule="auto" w:before="0" w:after="0"/>
      <w:ind w:firstLine="0"/>
      <w:jc w:val="center"/>
    </w:pPr>
    <w:rPr>
      <w:rFonts w:ascii="Times New Roman" w:hAnsi="Times New Roman" w:cs="Times New Roman" w:eastAsia="Times New Roman"/>
      <w:b/>
      <w:i w:val="0"/>
      <w:color w:val="000000"/>
      <w:sz w:val="24"/>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pageBreakBefore w:val="0"/>
      <w:tabs>
        <w:tab w:pos="720" w:val="left"/>
        <w:tab w:pos="1260" w:val="left"/>
      </w:tabs>
      <w:spacing w:line="240" w:lineRule="auto" w:before="0" w:after="0"/>
      <w:ind w:firstLine="0"/>
    </w:pPr>
    <w:rPr>
      <w:rFonts w:ascii="Times New Roman" w:hAnsi="Times New Roman" w:cs="Times New Roman" w:eastAsia="Times New Roman"/>
      <w:b w:val="0"/>
      <w:i w:val="0"/>
      <w:color w:val="000000"/>
      <w:sz w:val="24"/>
    </w:rPr>
  </w:style>
  <w:style w:type="paragraph" w:customStyle="1" w:styleId="ExampleLast">
    <w:name w:val="Example Last"/>
    <w:basedOn w:val="Example"/>
    <w:pPr>
      <w:keepNext w:val="0"/>
      <w:pageBreakBefore w:val="0"/>
      <w:tabs>
        <w:tab w:pos="720" w:val="left"/>
        <w:tab w:pos="1260" w:val="left"/>
      </w:tabs>
      <w:spacing w:line="240" w:lineRule="auto" w:before="0" w:after="240"/>
      <w:ind w:firstLine="0"/>
    </w:pPr>
    <w:rPr>
      <w:rFonts w:ascii="Times New Roman" w:hAnsi="Times New Roman" w:cs="Times New Roman" w:eastAsia="Times New Roman"/>
      <w:b w:val="0"/>
      <w:i w:val="0"/>
      <w:color w:val="000000"/>
      <w:sz w:val="24"/>
    </w:rPr>
  </w:style>
  <w:style w:type="paragraph" w:customStyle="1" w:styleId="ExampleFirst">
    <w:name w:val="Example First"/>
    <w:basedOn w:val="Example"/>
    <w:pPr>
      <w:keepNext/>
      <w:pageBreakBefore w:val="0"/>
      <w:tabs>
        <w:tab w:pos="720" w:val="left"/>
        <w:tab w:pos="1260" w:val="left"/>
      </w:tabs>
      <w:spacing w:line="240" w:lineRule="auto" w:before="240" w:after="0"/>
      <w:ind w:firstLine="0"/>
    </w:pPr>
    <w:rPr>
      <w:rFonts w:ascii="Times New Roman" w:hAnsi="Times New Roman" w:cs="Times New Roman" w:eastAsia="Times New Roman"/>
      <w:b w:val="0"/>
      <w:i w:val="0"/>
      <w:color w:val="000000"/>
      <w:sz w:val="24"/>
    </w:rPr>
  </w:style>
  <w:style w:type="paragraph" w:customStyle="1" w:styleId="ResearchQuestion">
    <w:name w:val="Research Question"/>
    <w:basedOn w:val="Normal"/>
    <w:pPr>
      <w:keepNext w:val="0"/>
      <w:pageBreakBefore w:val="0"/>
      <w:spacing w:line="480" w:lineRule="auto" w:before="0" w:after="0"/>
      <w:ind w:firstLine="0" w:left="720"/>
    </w:pPr>
    <w:rPr>
      <w:rFonts w:ascii="Times New Roman" w:hAnsi="Times New Roman" w:cs="Times New Roman" w:eastAsia="Times New Roman"/>
      <w:b w:val="0"/>
      <w:i w:val="0"/>
      <w:color w:val="000000"/>
      <w:sz w:val="24"/>
    </w:rPr>
  </w:style>
  <w:style w:type="paragraph" w:customStyle="1" w:styleId="Reference">
    <w:name w:val="Reference"/>
    <w:basedOn w:val="Normal"/>
    <w:pPr>
      <w:keepNext w:val="0"/>
      <w:pageBreakBefore w:val="0"/>
      <w:spacing w:line="480" w:lineRule="auto" w:before="0" w:after="0"/>
      <w:ind w:left="720" w:hanging="720"/>
    </w:pPr>
    <w:rPr>
      <w:rFonts w:ascii="Times New Roman" w:hAnsi="Times New Roman" w:cs="Times New Roman" w:eastAsia="Times New Roman"/>
      <w:b w:val="0"/>
      <w:i w:val="0"/>
      <w:color w:val="000000"/>
      <w:sz w:val="24"/>
    </w:rPr>
  </w:style>
  <w:style w:type="paragraph" w:customStyle="1" w:styleId="TableNumber">
    <w:name w:val="Table Number"/>
    <w:basedOn w:val="Normal"/>
    <w:pPr>
      <w:keepNext/>
      <w:pageBreakBefore w:val="0"/>
      <w:spacing w:line="480" w:lineRule="auto" w:before="240" w:after="0"/>
      <w:ind w:firstLine="0"/>
    </w:pPr>
    <w:rPr>
      <w:rFonts w:ascii="Times New Roman" w:hAnsi="Times New Roman" w:cs="Times New Roman" w:eastAsia="Times New Roman"/>
      <w:b/>
      <w:i w:val="0"/>
      <w:color w:val="000000"/>
      <w:sz w:val="24"/>
    </w:rPr>
  </w:style>
  <w:style w:type="paragraph" w:customStyle="1" w:styleId="TableTitle">
    <w:name w:val="Table Title"/>
    <w:basedOn w:val="Normal"/>
    <w:pPr>
      <w:keepNext/>
      <w:pageBreakBefore w:val="0"/>
      <w:spacing w:line="480" w:lineRule="auto" w:before="0" w:after="0"/>
      <w:ind w:firstLine="0"/>
    </w:pPr>
    <w:rPr>
      <w:rFonts w:ascii="Times New Roman" w:hAnsi="Times New Roman" w:cs="Times New Roman" w:eastAsia="Times New Roman"/>
      <w:b w:val="0"/>
      <w:i/>
      <w:color w:val="000000"/>
      <w:sz w:val="24"/>
    </w:rPr>
  </w:style>
  <w:style w:type="paragraph" w:customStyle="1" w:styleId="TableText">
    <w:name w:val="Table Text"/>
    <w:basedOn w:val="Normal"/>
    <w:pPr>
      <w:keepNext w:val="0"/>
      <w:pageBreakBefore w:val="0"/>
      <w:spacing w:line="240" w:lineRule="auto" w:before="0" w:after="0"/>
      <w:ind w:firstLine="0"/>
    </w:pPr>
    <w:rPr>
      <w:rFonts w:ascii="Times New Roman" w:hAnsi="Times New Roman" w:cs="Times New Roman" w:eastAsia="Times New Roman"/>
      <w:b w:val="0"/>
      <w:i w:val="0"/>
      <w:color w:val="000000"/>
      <w:sz w:val="20"/>
    </w:rPr>
  </w:style>
  <w:style w:type="paragraph" w:customStyle="1" w:styleId="TableNote">
    <w:name w:val="Table Note"/>
    <w:basedOn w:val="Normal"/>
    <w:pPr>
      <w:keepNext w:val="0"/>
      <w:pageBreakBefore w:val="0"/>
      <w:spacing w:line="240" w:lineRule="auto" w:before="120" w:after="240"/>
      <w:ind w:firstLine="0"/>
    </w:pPr>
    <w:rPr>
      <w:rFonts w:ascii="Times New Roman" w:hAnsi="Times New Roman" w:cs="Times New Roman" w:eastAsia="Times New Roman"/>
      <w:b w:val="0"/>
      <w:i w:val="0"/>
      <w:color w:val="000000"/>
      <w:sz w:val="20"/>
    </w:rPr>
  </w:style>
  <w:style w:type="paragraph" w:customStyle="1" w:styleId="FootnoteText">
    <w:name w:val="Footnote Text"/>
    <w:pPr>
      <w:keepNext w:val="0"/>
      <w:pageBreakBefore w:val="0"/>
      <w:spacing w:line="240" w:lineRule="auto" w:before="0" w:after="0"/>
      <w:ind w:firstLine="0"/>
    </w:pPr>
    <w:rPr>
      <w:rFonts w:ascii="Times New Roman" w:hAnsi="Times New Roman" w:cs="Times New Roman" w:eastAsia="Times New Roman"/>
      <w:b w:val="0"/>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2</cp:revision>
  <dcterms:created xsi:type="dcterms:W3CDTF">2026-10-14T04:12:00Z</dcterms:created>
  <dcterms:modified xsi:type="dcterms:W3CDTF">2026-10-14T08:14:00Z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