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9bff31" w14:paraId="69bff31" w:rsidRDefault="001F1D1F" w:rsidP="007602D4" w:rsidR="001F1D1F">
      <w:pPr>
        <w:pStyle w:val="Textodebloque"/>
        <w:tabs>
          <w:tab w:pos="993" w:val="left"/>
        </w:tabs>
        <w:ind w:hanging="993" w:right="3169" w:left="993"/>
        <w15:collapsed w:val="false"/>
        <w:rPr>
          <w:rFonts w:cs="Arial" w:hAnsi="Soberana Sans" w:ascii="Soberana Sans"/>
          <w:bCs/>
          <w:sz w:val="22"/>
          <w:szCs w:val="22"/>
        </w:rPr>
      </w:pP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>Asunto:</w:t>
      </w: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ab/>
      </w:r>
      <w:r w:rsidRPr="007F4717">
        <w:rPr>
          <w:rFonts w:cs="Arial" w:hAnsi="Soberana Sans" w:ascii="Soberana Sans"/>
          <w:sz w:val="22"/>
          <w:szCs w:val="22"/>
          <w:lang w:val="es-MX"/>
        </w:rPr>
        <w:t>Carta invitación.</w:t>
      </w:r>
    </w:p>
    <w:p w:rsidRDefault="006A56A0" w:rsidP="00B77436" w:rsidR="006A56A0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6E2A2C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  <w:r>
        <w:rPr>
          <w:rFonts w:cs="Arial" w:hAnsi="Soberana Sans" w:ascii="Soberana Sans"/>
          <w:color w:val="000000"/>
          <w:sz w:val="22"/>
          <w:szCs w:val="22"/>
          <w:lang w:val="es-ES_tradnl"/>
        </w:rPr>
        <w:t xml:space="preserve">Ciudad de México, a </w:t>
      </w:r>
      <w:r w:rsidRPr="00D97362">
        <w:rPr>
          <w:rFonts w:hAnsi="Soberana Sans" w:ascii="Soberana Sans"/>
          <w:sz w:val="22"/>
          <w:szCs w:val="22"/>
          <w:lang w:val="es-ES_tradnl"/>
        </w:rPr>
        <w:t xml:space="preserve"/>
      </w:r>
      <w:r w:rsidR="00B74EE6" w:rsidRPr="007F4717">
        <w:rPr>
          <w:rFonts w:cs="Arial" w:hAnsi="Soberana Sans" w:ascii="Soberana Sans"/>
          <w:color w:val="000000"/>
          <w:sz w:val="22"/>
          <w:szCs w:val="22"/>
          <w:lang w:val="es-MX"/>
        </w:rPr>
        <w:t>${47}</w:t>
      </w: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4"/>
          <w:szCs w:val="24"/>
          <w:lang w:val="es-MX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A0578E" w:rsidR="00B74EE6" w:rsidRPr="007F4717">
        <w:trPr>
          <w:jc w:val="right"/>
        </w:trPr>
        <w:tc>
          <w:tcPr>
            <w:tcW w:type="dxa" w:w="4999"/>
          </w:tcPr>
          <w:p w:rsidRDefault="00B74EE6" w:rsidP="00B77436" w:rsidR="00B74EE6" w:rsidRPr="007F4717">
            <w:pPr>
              <w:contextualSpacing/>
              <w:jc w:val="right"/>
              <w:outlineLvl w:val="0"/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</w:pPr>
            <w:r w:rsidRPr="007F4717"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  <w:t>${88}</w:t>
            </w:r>
          </w:p>
        </w:tc>
      </w:tr>
    </w:tbl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B74EE6" w:rsidP="00B77436" w:rsidR="00B74EE6" w:rsidRPr="007F4717">
      <w:pPr>
        <w:contextualSpacing/>
        <w:outlineLvl w:val="0"/>
        <w:rPr>
          <w:rFonts w:cs="Arial" w:hAnsi="Soberana Sans" w:ascii="Soberana Sans"/>
          <w:noProof/>
          <w:sz w:val="22"/>
          <w:szCs w:val="22"/>
          <w:lang w:val="es-MX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E2C1F" w:rsidRPr="00A107B8">
        <w:rPr>
          <w:rFonts w:cs="Arial" w:hAnsi="Soberana Sans" w:ascii="Soberana Sans"/>
          <w:bCs/>
          <w:sz w:val="22"/>
          <w:szCs w:val="22"/>
        </w:rPr>
        <w:t xml:space="preserve">, 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adscrita a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la Administración General de </w:t>
      </w:r>
      <w:r w:rsidR="001C5992" w:rsidRPr="00A107B8">
        <w:rPr>
          <w:rFonts w:cs="Arial" w:hAnsi="Soberana Sans" w:ascii="Soberana Sans"/>
          <w:bCs/>
          <w:sz w:val="22"/>
          <w:szCs w:val="22"/>
        </w:rPr>
        <w:t>Hidrocarburos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del Servicio de Administración Tributaria, </w:t>
      </w:r>
      <w:r w:rsidR="00AF0F8B" w:rsidRPr="00A107B8">
        <w:rPr>
          <w:rFonts w:cs="Arial" w:hAnsi="Soberana Sans" w:ascii="Soberana Sans"/>
          <w:bCs/>
          <w:sz w:val="22"/>
          <w:szCs w:val="22"/>
        </w:rPr>
        <w:t xml:space="preserve">con sede en la Ciudad de México, Distrito Federal, le comunica que conforme a lo dispuesto por el artículo 63 del Código Fiscal de la Federación relativo a la información que obra en poder de esta autoridad a nombre de </w:t>
        <w:t>${97}</w:t>
      </w:r>
      <w:r w:rsidR="00AF0F8B" w:rsidRPr="00A107B8">
        <w:rPr>
          <w:rFonts w:cs="Arial" w:hAnsi="Soberana Sans" w:ascii="Soberana Sans"/>
          <w:color w:val="000000"/>
          <w:sz w:val="22"/>
          <w:szCs w:val="22"/>
        </w:rPr>
        <w:t xml:space="preserve">, se conoció que su representada compensó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840484" w:rsidP="007602D4" w:rsidR="00840484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Al respecto, del análisis a la información aportada por su representada, se observó que en su declaración de pago manifestó un </w:t>
        <w:t>${115}</w:t>
        <w:t xml:space="preserve">, correspondiente al concepto </w:t>
        <w:t>${11}</w:t>
        <w:t xml:space="preserve"> del periodo </w:t>
        <w:t>${118}</w:t>
        <w:t xml:space="preserve"> del ejercicio </w:t>
        <w:t>${18}</w:t>
        <w:t xml:space="preserve">, en cantidad de </w:t>
        <w:t>${76}</w:t>
        <w:t xml:space="preserve">.</w:t>
      </w: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Ahora bien, con base en la información anterior, se observó lo siguiente:</w:t>
      </w: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En virtud de lo anterior esta Administración le hace una atenta invitación a ejercer correctamente el derecho a la compensación, corrigiendo la inconsistencia descrita con anterioridad presentando la declaración complementaria y realizando el pago correspondiente </w:t>
      </w:r>
      <w:permStart w:edGrp="everyone" w:id="1916479886"/>
      <w:r w:rsidRPr="00A107B8">
        <w:rPr>
          <w:rFonts w:cs="Arial" w:hAnsi="Soberana Sans" w:ascii="Soberana Sans"/>
          <w:bCs/>
          <w:sz w:val="22"/>
          <w:szCs w:val="22"/>
        </w:rPr>
        <w:t xml:space="preserve">al concepto </w:t>
        <w:t>${12}</w:t>
      </w:r>
      <w:permEnd w:id="1916479886"/>
      <w:r w:rsidRPr="00A107B8">
        <w:rPr>
          <w:rFonts w:cs="Arial" w:hAnsi="Soberana Sans" w:ascii="Soberana Sans"/>
          <w:bCs/>
          <w:sz w:val="22"/>
          <w:szCs w:val="22"/>
        </w:rPr>
        <w:t xml:space="preserve"> a su cargo con sus respectivos accesorios.</w:t>
      </w: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ermStart w:edGrp="everyone" w:id="1916479886"/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La presente invitación deberá ser atendida mediante escrito, proporcionando copia de las declaraciones correspondientes, en un plazo de 15 días contados a partir del día siguiente a aquel en que surta efectos la notificación del presente oficio, ingresando al Portal del SAT (www.sat.gob.mx), en el Buzón tributario&gt;Trámites&gt;Devoluciones y compensaciones, en la opción de “Seguimiento de trámites y requerimientos.</w:t>
      </w:r>
    </w:p>
    <w:permEnd w:id="1916479886"/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Se le reitera que esta invitación no implica el inicio de facultades de comprobación por parte de esta autoridad y se le recuerda que ésta podrá emitir resolución y cobro del importe de la compensación indebida, con actualización y recargos, conforme a lo establecido en los artículos 17-A, 21 y 23 del Código Fiscal de la Federación, cobrándose conjuntamente la sanción que establece el artículo 76, sexto párrafo del mismo ordenamiento.</w:t>
      </w: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p w:rsidRDefault="0018166C" w:rsidP="0018166C" w:rsidR="0018166C" w:rsidRPr="00FF3A0E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06500E" w:rsidP="00B6282E" w:rsidR="00B6282E" w:rsidRPr="00B6282E">
    <w:pPr>
      <w:pStyle w:val="Footer"/>
      <w:jc w:val="right"/>
      <w:rPr>
        <w:rStyle w:val="PageNumber"/>
        <w:rFonts w:cs="Soberana Sans" w:hAnsi="Soberana Sans" w:ascii="Soberana Sans"/>
        <w:szCs w:val="16"/>
      </w:rPr>
    </w:pPr>
    <w:r w:rsidRPr="00B6282E">
      <w:rPr>
        <w:rStyle w:val="PageNumber"/>
        <w:rFonts w:cs="Soberana Sans" w:hAnsi="Soberana Sans" w:ascii="Soberana Sans"/>
        <w:szCs w:val="16"/>
      </w:rPr>
      <w:fldChar w:fldCharType="begin"/>
    </w:r>
    <w:r w:rsidR="00B6282E" w:rsidRPr="00B6282E">
      <w:rPr>
        <w:rStyle w:val="PageNumber"/>
        <w:rFonts w:cs="Soberana Sans" w:hAnsi="Soberana Sans" w:ascii="Soberana Sans"/>
        <w:szCs w:val="16"/>
      </w:rPr>
      <w:instrText xml:space="preserve"> PAGE </w:instrText>
    </w:r>
    <w:r w:rsidRPr="00B6282E">
      <w:rPr>
        <w:rStyle w:val="PageNumber"/>
        <w:rFonts w:cs="Soberana Sans" w:hAnsi="Soberana Sans" w:ascii="Soberana Sans"/>
        <w:szCs w:val="16"/>
      </w:rPr>
      <w:fldChar w:fldCharType="separate"/>
    </w:r>
    <w:r w:rsidR="004E7BEF">
      <w:rPr>
        <w:rStyle w:val="PageNumber"/>
        <w:rFonts w:cs="Soberana Sans" w:hAnsi="Soberana Sans" w:ascii="Soberana Sans"/>
        <w:noProof/>
        <w:szCs w:val="16"/>
      </w:rPr>
      <w:t>1</w:t>
    </w:r>
    <w:r w:rsidRPr="00B6282E">
      <w:rPr>
        <w:rStyle w:val="PageNumber"/>
        <w:rFonts w:cs="Soberana Sans" w:hAnsi="Soberana Sans" w:ascii="Soberana Sans"/>
        <w:szCs w:val="16"/>
      </w:rPr>
      <w:fldChar w:fldCharType="end"/>
    </w:r>
  </w:p>
  <w:p w:rsidRDefault="00B6282E" w:rsidP="00B6282E" w:rsidR="00B6282E">
    <w:pPr>
      <w:pStyle w:val="Footer"/>
      <w:jc w:val="right"/>
      <w:rPr>
        <w:rStyle w:val="PageNumber"/>
        <w:rFonts w:cs="Soberana Sans" w:hAnsi="Soberana Sans" w:ascii="Soberana Sans"/>
        <w:sz w:val="18"/>
      </w:rPr>
    </w:pPr>
  </w:p>
  <w:p w:rsidRDefault="004C4128" w:rsidP="004C4128" w:rsidR="004C4128">
    <w:pPr>
      <w:pStyle w:val="Footer"/>
      <w:jc w:val="center"/>
      <w:rPr>
        <w:rFonts w:cs="Soberana Sans" w:hAnsi="Soberana Sans" w:ascii="Soberana Sans"/>
        <w:szCs w:val="16"/>
      </w:rPr>
    </w:pPr>
    <w:permStart w:edGrp="everyone" w:id="740763314"/>
    <w:r w:rsidRPr="00B97B69">
      <w:rPr>
        <w:rFonts w:cs="Soberana Sans" w:hAnsi="Soberana Sans" w:ascii="Soberana Sans"/>
        <w:szCs w:val="16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Default="004C4128" w:rsidP="004C4128" w:rsidR="004C4128" w:rsidRPr="00B2092B">
    <w:pPr>
      <w:pStyle w:val="Footer"/>
      <w:jc w:val="center"/>
      <w:rPr>
        <w:rFonts w:hAnsi="Soberana Sans" w:ascii="Soberana Sans"/>
        <w:color w:val="000000"/>
        <w:lang w:val="en-US"/>
      </w:rPr>
    </w:pPr>
    <w:r w:rsidRPr="00B11450">
      <w:rPr>
        <w:rFonts w:cs="Soberana Sans" w:hAnsi="Soberana Sans" w:ascii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