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41FFD">
      <w:pPr>
        <w:wordWrap w:val="0"/>
        <w:spacing w:before="1100" w:after="0" w:line="640" w:lineRule="atLeast"/>
        <w:ind w:left="0" w:right="0"/>
        <w:jc w:val="center"/>
        <w:textAlignment w:val="baseline"/>
        <w:rPr>
          <w:sz w:val="47"/>
        </w:rPr>
      </w:pPr>
      <w:r>
        <w:rPr>
          <w:rFonts w:ascii="宋体" w:hAnsi="宋体" w:eastAsia="宋体" w:cs="宋体"/>
          <w:b w:val="0"/>
          <w:i w:val="0"/>
          <w:color w:val="000000"/>
          <w:sz w:val="47"/>
        </w:rPr>
        <w:t>第六章</w:t>
      </w:r>
    </w:p>
    <w:p w14:paraId="6CF95F6F">
      <w:pPr>
        <w:wordWrap w:val="0"/>
        <w:spacing w:before="0" w:after="0" w:line="640" w:lineRule="exact"/>
        <w:ind w:left="0" w:right="0"/>
        <w:jc w:val="center"/>
        <w:textAlignment w:val="baseline"/>
        <w:rPr>
          <w:sz w:val="47"/>
        </w:rPr>
      </w:pPr>
    </w:p>
    <w:p w14:paraId="0D9E508A">
      <w:pPr>
        <w:wordWrap w:val="0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r>
        <w:rPr>
          <w:rFonts w:ascii="宋体" w:hAnsi="宋体" w:eastAsia="宋体" w:cs="宋体"/>
          <w:b w:val="0"/>
          <w:i w:val="0"/>
          <w:color w:val="000000"/>
          <w:sz w:val="47"/>
        </w:rPr>
        <w:t>疾病的治则与治法</w:t>
      </w:r>
    </w:p>
    <w:p w14:paraId="7705CC40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9"/>
        </w:rPr>
      </w:pPr>
    </w:p>
    <w:p w14:paraId="2E11F8A9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9"/>
        </w:rPr>
      </w:pPr>
    </w:p>
    <w:p w14:paraId="48CCFC3B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9"/>
        </w:rPr>
      </w:pPr>
    </w:p>
    <w:p w14:paraId="244BEBD1">
      <w:pPr>
        <w:wordWrap w:val="0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r>
        <w:rPr>
          <w:rFonts w:ascii="黑体" w:hAnsi="黑体" w:eastAsia="黑体" w:cs="黑体"/>
          <w:b w:val="0"/>
          <w:i w:val="0"/>
          <w:color w:val="000000"/>
          <w:sz w:val="29"/>
          <w:u w:val="single"/>
        </w:rPr>
        <w:t xml:space="preserve">               第一节  彝医的治疗原则               </w:t>
      </w:r>
    </w:p>
    <w:p w14:paraId="20BBA288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19"/>
        </w:rPr>
      </w:pPr>
    </w:p>
    <w:p w14:paraId="168DADE6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19"/>
        </w:rPr>
      </w:pPr>
    </w:p>
    <w:p w14:paraId="58C884CC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19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</w:p>
    <w:p w14:paraId="21D71DA5">
      <w:pPr>
        <w:wordWrap w:val="0"/>
        <w:spacing w:before="0" w:after="0" w:line="380" w:lineRule="atLeast"/>
        <w:ind w:left="0" w:right="0" w:firstLine="38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治则是治疗疾病时必须遵循的法则，是对临床具有普遍指导意义的治疗规律。彝族的治病原则是在彝医的生命观和疾病观的基础上建立的，归纳有以下几点。</w:t>
      </w:r>
    </w:p>
    <w:p w14:paraId="04F0C080">
      <w:pPr>
        <w:wordWrap w:val="0"/>
        <w:spacing w:before="100" w:after="0" w:line="280" w:lineRule="atLeast"/>
        <w:ind w:left="40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(一)治病除根</w:t>
      </w:r>
    </w:p>
    <w:p w14:paraId="186971D0">
      <w:pPr>
        <w:wordWrap w:val="0"/>
        <w:spacing w:before="0" w:after="0" w:line="380" w:lineRule="atLeast"/>
        <w:ind w:left="0" w:right="0" w:firstLine="38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彝医认为人体因各种病因引发疾病后，这个最初的病因和疾病如果不祛除，就会不停地演变形成新的疾病，故治病一定要分辨病根、祛除病根。《物始纪略》中记载：“很古的时候，风吹疾病来，疾病漫人间，疾病真可怕，医也医不好，治也治不了。病根变化快，一病变百病。”可见彝医认识到，不除病根，疾病会迅速变化发展。祛除病根是治疗的目的，诊断是为了找出病根，对症用药是为了祛除病根，彝族历史上的大毕摩举奢哲写道：“世间有病人，多少人生病！人病就要治，如何除病根?要说难说清……有些疾病呀，药物用错了，难以除病根……诊断疾病时，就须查病根，病根在哪里?一切要搞清……病根已查清，使用药物时，用药需对症，百病能根治，不言自然明。”</w:t>
      </w:r>
    </w:p>
    <w:p w14:paraId="511281CC">
      <w:pPr>
        <w:spacing w:line="20" w:lineRule="exact"/>
        <w:textAlignment w:val="bottom"/>
      </w:pPr>
      <w:r>
        <w:br w:type="column"/>
      </w:r>
    </w:p>
    <w:p w14:paraId="2603EF2E">
      <w:pPr>
        <w:wordWrap w:val="0"/>
        <w:spacing w:before="0" w:after="0" w:line="280" w:lineRule="atLeast"/>
        <w:ind w:left="40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(二)“窝病”统治</w:t>
      </w:r>
    </w:p>
    <w:p w14:paraId="129FB53E">
      <w:pPr>
        <w:wordWrap w:val="0"/>
        <w:spacing w:before="0" w:after="0" w:line="380" w:lineRule="atLeast"/>
        <w:ind w:left="0" w:right="0" w:firstLine="38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彝医认为，人体的不同部位患病会出现不同的症状，这些症状不是孤立存在的，是由病根统一引发的，因此治疗时要一“窝”病统筹治疗，而不是只治疗其中的某一个症状。例如。彝医治疗骨折，在传统手法复位之后，要施以活血化瘀、补肝益肾、强筋壮骨，甚至软坚散结的药材，就是依据“窝病”统治原则。骨折虽然是局部的问题，但因为局部的骨折涉及整体，局部的疾患影响着整体的健康。这种情况在临床上比比皆是，彝医书籍中记载的疾病也经常以窝病的形式出现，如(葬人病痛药方)一书中记载一病为“腹中雷鸣，又有点泻，不想饭吃”。所以只有遵循“窝病”统治的原则，才有可能在最短时间内获得最理想的功效。</w:t>
      </w:r>
    </w:p>
    <w:p w14:paraId="7C6A9D7B">
      <w:pPr>
        <w:wordWrap w:val="0"/>
        <w:spacing w:before="120" w:after="0" w:line="280" w:lineRule="atLeast"/>
        <w:ind w:left="400" w:right="0"/>
        <w:jc w:val="both"/>
        <w:textAlignment w:val="baseline"/>
        <w:rPr>
          <w:sz w:val="20"/>
        </w:rPr>
      </w:pPr>
      <w:r>
        <w:rPr>
          <w:rFonts w:ascii="黑体" w:hAnsi="黑体" w:eastAsia="黑体" w:cs="黑体"/>
          <w:b/>
          <w:i w:val="0"/>
          <w:color w:val="000000"/>
          <w:sz w:val="20"/>
        </w:rPr>
        <w:t>(三)剂量统调</w:t>
      </w:r>
    </w:p>
    <w:p w14:paraId="2D097791">
      <w:pPr>
        <w:wordWrap w:val="0"/>
        <w:spacing w:before="0" w:after="0" w:line="380" w:lineRule="atLeast"/>
        <w:ind w:left="0" w:right="0" w:firstLine="380"/>
        <w:jc w:val="both"/>
        <w:textAlignment w:val="baseline"/>
        <w:rPr>
          <w:sz w:val="19"/>
        </w:rPr>
        <w:sectPr>
          <w:type w:val="continuous"/>
          <w:pgSz w:w="11900" w:h="16820"/>
          <w:pgMar w:top="1420" w:right="1780" w:bottom="1420" w:left="1780" w:header="720" w:footer="720" w:gutter="0"/>
          <w:cols w:equalWidth="0" w:num="2">
            <w:col w:w="4080" w:space="160"/>
            <w:col w:w="4060"/>
          </w:cols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现在已经翻译成汉文的彝文医药文献的处方中，我们只看到记载药材的名称，而不见记载药材的剂量，因为彝医认为药物的剂量要因人、因症候、因时而变。(红河彝族辞典》上</w:t>
      </w:r>
    </w:p>
    <w:p w14:paraId="0024C4CE">
      <w:pPr>
        <w:wordWrap w:val="0"/>
        <w:spacing w:before="0" w:after="0" w:line="220" w:lineRule="atLeast"/>
        <w:ind w:left="0" w:right="0"/>
        <w:jc w:val="both"/>
        <w:textAlignment w:val="baseline"/>
        <w:rPr>
          <w:sz w:val="16"/>
        </w:rPr>
      </w:pPr>
      <w:r>
        <w:rPr>
          <w:rFonts w:ascii="宋体" w:hAnsi="宋体" w:eastAsia="宋体" w:cs="宋体"/>
          <w:b w:val="0"/>
          <w:i w:val="0"/>
          <w:color w:val="000000"/>
          <w:sz w:val="16"/>
        </w:rPr>
        <w:t xml:space="preserve">                                                                          第六章 疾病的治则与治法</w:t>
      </w:r>
      <w:r>
        <w:rPr>
          <w:rFonts w:ascii="楷体" w:hAnsi="楷体" w:eastAsia="楷体" w:cs="楷体"/>
          <w:b w:val="0"/>
          <w:i w:val="0"/>
          <w:color w:val="000000"/>
          <w:sz w:val="16"/>
        </w:rPr>
        <w:t xml:space="preserve"> 65</w:t>
      </w:r>
    </w:p>
    <w:p w14:paraId="7314263A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6"/>
        </w:rPr>
      </w:pPr>
    </w:p>
    <w:p w14:paraId="6C8F9C9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6"/>
        </w:rPr>
      </w:pPr>
    </w:p>
    <w:p w14:paraId="1BE4A1FD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6"/>
        </w:rPr>
      </w:pPr>
    </w:p>
    <w:p w14:paraId="188F81E0">
      <w:pPr>
        <w:wordWrap w:val="0"/>
        <w:spacing w:before="0" w:after="0" w:line="360" w:lineRule="atLeast"/>
        <w:ind w:left="4220" w:right="2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同。”疾病是不断在变化发展的，人与人之间也存在着性别、年龄、体质、患病深浅等方面的不同，所以鼻医认为应该统筹考虑后再确定药物剂量的多少。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12700</wp:posOffset>
                </wp:positionV>
                <wp:extent cx="2616200" cy="71120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D9991">
                            <w:pPr>
                              <w:wordWrap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i w:val="0"/>
                                <w:color w:val="000000"/>
                                <w:sz w:val="19"/>
                              </w:rPr>
                              <w:t>说：“在用药上遵循象形同性的原理而外，又按月、日、时辰进行调药的量，或者变换方子。同一种病在不同的季节、月份、日辰，不同的人和不同的性别年龄，使用的药物和用量也不相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pt;margin-top:1pt;height:56pt;width:206pt;mso-position-horizontal-relative:page;z-index:251659264;mso-width-relative:page;mso-height-relative:page;" filled="f" stroked="f" coordsize="21600,21600" o:gfxdata="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dymh9YAAAAJAQAADwAA&#10;AAAAAAABACAAAAAiAAAAZHJzL2Rvd25yZXYueG1sUEsBAhQAFAAAAAgAh07iQELOqk7fAQAAsAMA&#10;AA4AAAAAAAAAAQAgAAAAJQ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BBD9991">
                      <w:pPr>
                        <w:wordWrap w:val="0"/>
                        <w:spacing w:before="0" w:after="0" w:line="260" w:lineRule="atLeast"/>
                        <w:ind w:left="0" w:right="0"/>
                        <w:jc w:val="both"/>
                        <w:textAlignment w:val="baseline"/>
                        <w:rPr>
                          <w:sz w:val="19"/>
                        </w:rPr>
                      </w:pPr>
                      <w:r>
                        <w:rPr>
                          <w:rFonts w:ascii="宋体" w:hAnsi="宋体" w:eastAsia="宋体" w:cs="宋体"/>
                          <w:b w:val="0"/>
                          <w:i w:val="0"/>
                          <w:color w:val="000000"/>
                          <w:sz w:val="19"/>
                        </w:rPr>
                        <w:t>说：“在用药上遵循象形同性的原理而外，又按月、日、时辰进行调药的量，或者变换方子。同一种病在不同的季节、月份、日辰，不同的人和不同的性别年龄，使用的药物和用量也不相</w:t>
                      </w:r>
                    </w:p>
                  </w:txbxContent>
                </v:textbox>
              </v:shape>
            </w:pict>
          </mc:Fallback>
        </mc:AlternateContent>
      </w:r>
    </w:p>
    <w:p w14:paraId="0E2A523E">
      <w:pPr>
        <w:wordWrap w:val="0"/>
        <w:spacing w:before="0" w:after="0" w:line="360" w:lineRule="exact"/>
        <w:ind w:left="0" w:right="0"/>
        <w:jc w:val="both"/>
        <w:textAlignment w:val="baseline"/>
        <w:rPr>
          <w:sz w:val="19"/>
        </w:rPr>
      </w:pPr>
    </w:p>
    <w:p w14:paraId="67D205F6">
      <w:pPr>
        <w:wordWrap w:val="0"/>
        <w:spacing w:before="0" w:after="0" w:line="360" w:lineRule="exact"/>
        <w:ind w:left="0" w:right="0"/>
        <w:jc w:val="both"/>
        <w:textAlignment w:val="baseline"/>
        <w:rPr>
          <w:sz w:val="19"/>
        </w:rPr>
      </w:pPr>
    </w:p>
    <w:p w14:paraId="2F264BC6">
      <w:pPr>
        <w:wordWrap w:val="0"/>
        <w:spacing w:before="0" w:after="0" w:line="560" w:lineRule="atLeast"/>
        <w:ind w:left="248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 w:val="0"/>
          <w:i w:val="0"/>
          <w:color w:val="000000"/>
          <w:sz w:val="41"/>
        </w:rPr>
        <w:t>第二节彝医的治法</w:t>
      </w:r>
    </w:p>
    <w:p w14:paraId="258F4C8E">
      <w:pPr>
        <w:wordWrap w:val="0"/>
        <w:spacing w:before="0" w:after="0" w:line="540" w:lineRule="exact"/>
        <w:ind w:left="0" w:right="0"/>
        <w:jc w:val="both"/>
        <w:textAlignment w:val="baseline"/>
        <w:rPr>
          <w:sz w:val="41"/>
        </w:rPr>
      </w:pPr>
    </w:p>
    <w:p w14:paraId="5C9BBCFD">
      <w:pPr>
        <w:wordWrap w:val="0"/>
        <w:spacing w:before="0" w:after="0" w:line="540" w:lineRule="exact"/>
        <w:ind w:left="0" w:right="0"/>
        <w:jc w:val="both"/>
        <w:textAlignment w:val="baseline"/>
        <w:rPr>
          <w:sz w:val="41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</w:p>
    <w:p w14:paraId="6E1D2139">
      <w:pPr>
        <w:wordWrap w:val="0"/>
        <w:spacing w:before="0" w:after="0" w:line="360" w:lineRule="atLeast"/>
        <w:ind w:left="20" w:right="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彝医没有系统的治法理论，在翻译整理的彝族医籍中，大多为以症带方、以方带药的记录方式，在对彝族方药进行整理研究后，将其中记载的治疗方法归纳于下。</w:t>
      </w:r>
    </w:p>
    <w:p w14:paraId="5F5796E2">
      <w:pPr>
        <w:wordWrap w:val="0"/>
        <w:spacing w:before="0" w:after="0" w:line="300" w:lineRule="exact"/>
        <w:ind w:left="20" w:right="0"/>
        <w:jc w:val="both"/>
        <w:textAlignment w:val="baseline"/>
        <w:rPr>
          <w:sz w:val="23"/>
        </w:rPr>
      </w:pPr>
    </w:p>
    <w:p w14:paraId="4B30D8ED">
      <w:pPr>
        <w:wordWrap w:val="0"/>
        <w:spacing w:before="0" w:after="0" w:line="320" w:lineRule="atLeast"/>
        <w:ind w:left="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一、 汗法</w:t>
      </w:r>
    </w:p>
    <w:p w14:paraId="7F12C40E">
      <w:pPr>
        <w:wordWrap w:val="0"/>
        <w:spacing w:before="0" w:after="0" w:line="300" w:lineRule="exact"/>
        <w:ind w:left="20" w:right="0"/>
        <w:jc w:val="both"/>
        <w:textAlignment w:val="baseline"/>
        <w:rPr>
          <w:sz w:val="23"/>
        </w:rPr>
      </w:pPr>
    </w:p>
    <w:p w14:paraId="322ECC4C">
      <w:pPr>
        <w:wordWrap w:val="0"/>
        <w:spacing w:before="0" w:after="0" w:line="360" w:lineRule="atLeast"/>
        <w:ind w:left="20" w:right="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汗法是开泄汗腺，逐邪外出的一种治法。其主要作用是从肺、皮肤系驱除侵袭体表的外邪。</w:t>
      </w:r>
    </w:p>
    <w:p w14:paraId="62ABF4DF">
      <w:pPr>
        <w:wordWrap w:val="0"/>
        <w:spacing w:before="0" w:after="0" w:line="360" w:lineRule="atLeast"/>
        <w:ind w:left="20" w:right="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1.适用范围  汗法除适用于一切外感疾病初期外，还适用于水肿和疮疡病初起，以及麻疹将透未透的阶段。</w:t>
      </w:r>
    </w:p>
    <w:p w14:paraId="1A8482D6">
      <w:pPr>
        <w:wordWrap w:val="0"/>
        <w:spacing w:before="0" w:after="0" w:line="360" w:lineRule="atLeast"/>
        <w:ind w:left="20" w:right="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2.运用方法 汗法主要适用于风邪初起的病证。</w:t>
      </w:r>
    </w:p>
    <w:p w14:paraId="2640CD00">
      <w:pPr>
        <w:wordWrap w:val="0"/>
        <w:spacing w:before="0" w:after="0" w:line="360" w:lineRule="atLeast"/>
        <w:ind w:left="42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3、注意事项</w:t>
      </w:r>
    </w:p>
    <w:p w14:paraId="0D881723">
      <w:pPr>
        <w:wordWrap w:val="0"/>
        <w:spacing w:before="0" w:after="0" w:line="360" w:lineRule="atLeast"/>
        <w:ind w:left="20" w:right="2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(1)凡剧烈吐下之后，以及耗气、伤津、亡血等，原则上都在禁汗之列。如必须使用汗法时，则应配合益气、滋浊、养血等其他方法进行治疗。</w:t>
      </w:r>
    </w:p>
    <w:p w14:paraId="23EFC5F9">
      <w:pPr>
        <w:wordWrap w:val="0"/>
        <w:spacing w:before="0" w:after="0" w:line="360" w:lineRule="atLeast"/>
        <w:ind w:left="20" w:right="2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(2)发汗应以汗出毒去为度，不宜过量，以防气血过度消耗.凡在使用汗法时必须注意季节与气候的变化，不同地区环境的特点及体质强弱等。在选用药物和考虑剂量时，应根据具体情况适当处理。</w:t>
      </w:r>
    </w:p>
    <w:p w14:paraId="2CF62203">
      <w:pPr>
        <w:wordWrap w:val="0"/>
        <w:spacing w:before="0" w:after="0" w:line="360" w:lineRule="atLeast"/>
        <w:ind w:left="20" w:right="2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(3)凡用发汗剂时，必须告诉患者，服药后应避风寒，忌食油腻厚味等物。</w:t>
      </w:r>
    </w:p>
    <w:p w14:paraId="2D1F0AD3">
      <w:pPr>
        <w:spacing w:line="20" w:lineRule="exact"/>
        <w:textAlignment w:val="bottom"/>
      </w:pPr>
      <w:r>
        <w:br w:type="column"/>
      </w:r>
    </w:p>
    <w:p w14:paraId="5A4F48F4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二、吐法</w:t>
      </w:r>
    </w:p>
    <w:p w14:paraId="2DA47155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3"/>
        </w:rPr>
      </w:pPr>
    </w:p>
    <w:p w14:paraId="6F92D282">
      <w:pPr>
        <w:wordWrap w:val="0"/>
        <w:spacing w:before="0" w:after="0" w:line="360" w:lineRule="atLeast"/>
        <w:ind w:left="0" w:right="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吐法即引导毒邪或有毒物质使之从口涌吐而出的一种治法。其主要作用是使停滞在胃中、胸膈的有形毒邪，从口中吐出，从而达到及时排除毒邪的目的，是一种急救的方法。</w:t>
      </w:r>
    </w:p>
    <w:p w14:paraId="4E20849C">
      <w:pPr>
        <w:wordWrap w:val="0"/>
        <w:spacing w:before="0" w:after="0" w:line="360" w:lineRule="atLeast"/>
        <w:ind w:left="0" w:right="2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1.适用范围 吐法适宜于痰涎重盛，食积停滞胃中不化，欲有上涌之势，或误食毒物尚在胃中等疾病。</w:t>
      </w:r>
    </w:p>
    <w:p w14:paraId="762A481E">
      <w:pPr>
        <w:wordWrap w:val="0"/>
        <w:spacing w:before="0" w:after="0" w:line="360" w:lineRule="atLeast"/>
        <w:ind w:left="0" w:right="40" w:firstLine="40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2.运用方法 吐法多用于病情严重急迫，必须迅速吐出积滞或毒邪。</w:t>
      </w:r>
    </w:p>
    <w:p w14:paraId="3F2CAFF0">
      <w:pPr>
        <w:wordWrap w:val="0"/>
        <w:spacing w:before="0" w:after="0" w:line="360" w:lineRule="atLeast"/>
        <w:ind w:left="400" w:right="0"/>
        <w:jc w:val="both"/>
        <w:textAlignment w:val="baseline"/>
        <w:rPr>
          <w:sz w:val="19"/>
        </w:r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3.注意事项</w:t>
      </w:r>
    </w:p>
    <w:p w14:paraId="767299E0">
      <w:pPr>
        <w:wordWrap w:val="0"/>
        <w:spacing w:before="0" w:after="0" w:line="360" w:lineRule="atLeast"/>
        <w:ind w:left="0" w:right="20" w:firstLine="40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(1)吐法是一种急救方法，用之得当，收效迅速，用之不当，最易伤正。凡有下列情况的均不得施用吐法：①病势危笃，老弱而三气衰者；②诸失血者；③诸喘息不安者；④脚气上冲者：⑤妊娠或产后。</w:t>
      </w:r>
    </w:p>
    <w:p w14:paraId="788131A1">
      <w:pPr>
        <w:wordWrap w:val="0"/>
        <w:spacing w:before="0" w:after="0" w:line="360" w:lineRule="atLeast"/>
        <w:ind w:left="400" w:right="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(2)凡服用吐剂，一般以一吐快，不宜反复使用。</w:t>
      </w:r>
    </w:p>
    <w:p w14:paraId="047F75B6">
      <w:pPr>
        <w:wordWrap w:val="0"/>
        <w:spacing w:before="0" w:after="0" w:line="360" w:lineRule="atLeast"/>
        <w:ind w:left="0" w:right="40" w:firstLine="40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(3)服催吐药后，应用消毒手指或用消毒压舌板探喉使之速吐。</w:t>
      </w:r>
    </w:p>
    <w:p w14:paraId="194F6AB2">
      <w:pPr>
        <w:wordWrap w:val="0"/>
        <w:spacing w:before="0" w:after="0" w:line="360" w:lineRule="atLeast"/>
        <w:ind w:left="0" w:right="40" w:firstLine="400"/>
        <w:jc w:val="both"/>
        <w:textAlignment w:val="baseline"/>
        <w:rPr>
          <w:sz w:val="17"/>
        </w:r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(4)凡给予僵吐剂时，应告诉患者，在得吐后需待片刻再进糜粥，禁食一切生冷硬物，且要谨避风寒。</w:t>
      </w:r>
    </w:p>
    <w:p w14:paraId="0047D49D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3"/>
        </w:rPr>
      </w:pPr>
    </w:p>
    <w:p w14:paraId="7EFB7897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三、下法</w:t>
      </w:r>
    </w:p>
    <w:p w14:paraId="37FA9D26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3"/>
        </w:rPr>
      </w:pPr>
    </w:p>
    <w:p w14:paraId="70E71689">
      <w:pPr>
        <w:wordWrap w:val="0"/>
        <w:spacing w:before="0" w:after="0" w:line="360" w:lineRule="atLeast"/>
        <w:ind w:left="400" w:right="0"/>
        <w:jc w:val="both"/>
        <w:textAlignment w:val="baseline"/>
        <w:rPr>
          <w:sz w:val="19"/>
        </w:rPr>
        <w:sectPr>
          <w:type w:val="continuous"/>
          <w:pgSz w:w="11900" w:h="16820"/>
          <w:pgMar w:top="1420" w:right="1780" w:bottom="1420" w:left="1780" w:header="720" w:footer="720" w:gutter="0"/>
          <w:cols w:equalWidth="0" w:num="2">
            <w:col w:w="4080" w:space="160"/>
            <w:col w:w="4100"/>
          </w:cols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下路排毒系统包括肠道、肛门、肾与膀胱。</w:t>
      </w:r>
    </w:p>
    <w:p w14:paraId="6C6B40BA">
      <w:pPr>
        <w:wordWrap w:val="0"/>
        <w:spacing w:before="0" w:after="0" w:line="220" w:lineRule="atLeast"/>
        <w:ind w:left="0" w:right="0"/>
        <w:jc w:val="both"/>
        <w:textAlignment w:val="baseline"/>
        <w:rPr>
          <w:sz w:val="16"/>
        </w:rPr>
      </w:pPr>
      <w:r>
        <w:rPr>
          <w:rFonts w:ascii="宋体" w:hAnsi="宋体" w:eastAsia="宋体" w:cs="宋体"/>
          <w:b w:val="0"/>
          <w:i w:val="0"/>
          <w:color w:val="000000"/>
          <w:sz w:val="16"/>
        </w:rPr>
        <w:t xml:space="preserve">  66    外展区药学基础     </w:t>
      </w:r>
      <w:r>
        <w:rPr>
          <w:rFonts w:ascii="宋体" w:hAnsi="宋体" w:eastAsia="宋体" w:cs="宋体"/>
          <w:b w:val="0"/>
          <w:i w:val="0"/>
          <w:color w:val="000000"/>
          <w:sz w:val="16"/>
          <w:u w:val="single"/>
        </w:rPr>
        <w:t xml:space="preserve">                                                                                                   </w:t>
      </w:r>
    </w:p>
    <w:p w14:paraId="270CFD93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5"/>
        </w:rPr>
      </w:pPr>
    </w:p>
    <w:p w14:paraId="0727D044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5"/>
        </w:rPr>
        <w:sectPr>
          <w:pgSz w:w="11900" w:h="16820"/>
          <w:pgMar w:top="920" w:right="780" w:bottom="920" w:left="780" w:header="720" w:footer="720" w:gutter="0"/>
          <w:cols w:space="720" w:num="1"/>
        </w:sectPr>
      </w:pPr>
    </w:p>
    <w:p w14:paraId="2E7DA971">
      <w:pPr>
        <w:wordWrap w:val="0"/>
        <w:spacing w:before="0" w:after="0" w:line="400" w:lineRule="atLeast"/>
        <w:ind w:left="2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下法是攻逐体内结滞毒邪，通泄大便的一种治法，具有排除毒邪、推陈致新的作用。</w:t>
      </w:r>
    </w:p>
    <w:p w14:paraId="6D19C832">
      <w:pPr>
        <w:wordWrap w:val="0"/>
        <w:spacing w:before="0" w:after="0" w:line="400" w:lineRule="atLeast"/>
        <w:ind w:left="2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1.适用范围 下法适宜于邪在胃肠，燥屎停结，热毒内结于里，以及积水、蓄血、痰滞、虫积等疾病。</w:t>
      </w:r>
    </w:p>
    <w:p w14:paraId="3597B54A">
      <w:pPr>
        <w:wordWrap w:val="0"/>
        <w:spacing w:before="0" w:after="0" w:line="400" w:lineRule="atLeast"/>
        <w:ind w:left="2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2.运用方法 下法主要适用于里证，有寒下、热下、通瘀和驱虫等方式。</w:t>
      </w:r>
    </w:p>
    <w:p w14:paraId="596EEF51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3.注意事项</w:t>
      </w:r>
    </w:p>
    <w:p w14:paraId="40590F28">
      <w:pPr>
        <w:wordWrap w:val="0"/>
        <w:spacing w:before="0" w:after="0" w:line="400" w:lineRule="atLeast"/>
        <w:ind w:left="20" w:right="2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(1)下法如果用之不当，流弊很大。因此，运用下法时必须注意，老年人或身体虚弱的人，以及妊娠期间皆应慎用，</w:t>
      </w:r>
    </w:p>
    <w:p w14:paraId="64C31F3D">
      <w:pPr>
        <w:wordWrap w:val="0"/>
        <w:spacing w:before="0" w:after="0" w:line="400" w:lineRule="atLeast"/>
        <w:ind w:left="20" w:right="2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(2)下法应以邪去为度，不宜过量，使用下法时必须根据病情和患者体质，选用适当的药物和剂量。</w:t>
      </w:r>
    </w:p>
    <w:p w14:paraId="34050FEB">
      <w:pPr>
        <w:wordWrap w:val="0"/>
        <w:spacing w:before="0" w:after="0" w:line="400" w:lineRule="atLeast"/>
        <w:ind w:left="20" w:right="2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(3)在使用攻下剂时，必须告诉患者服药的时间、应忌的事项、食物等。</w:t>
      </w:r>
    </w:p>
    <w:p w14:paraId="3DB4AF43">
      <w:pPr>
        <w:wordWrap w:val="0"/>
        <w:spacing w:before="0" w:after="0" w:line="340" w:lineRule="exact"/>
        <w:ind w:left="20" w:right="0"/>
        <w:jc w:val="both"/>
        <w:textAlignment w:val="baseline"/>
        <w:rPr>
          <w:sz w:val="30"/>
        </w:rPr>
      </w:pPr>
    </w:p>
    <w:p w14:paraId="19CDC12D">
      <w:pPr>
        <w:wordWrap w:val="0"/>
        <w:spacing w:before="0" w:after="0" w:line="420" w:lineRule="atLeast"/>
        <w:ind w:left="2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四、温法</w:t>
      </w:r>
    </w:p>
    <w:p w14:paraId="141AB615">
      <w:pPr>
        <w:wordWrap w:val="0"/>
        <w:spacing w:before="0" w:after="0" w:line="340" w:lineRule="exact"/>
        <w:ind w:left="20" w:right="0"/>
        <w:jc w:val="both"/>
        <w:textAlignment w:val="baseline"/>
        <w:rPr>
          <w:sz w:val="30"/>
        </w:rPr>
      </w:pPr>
    </w:p>
    <w:p w14:paraId="536FC91F">
      <w:pPr>
        <w:wordWrap w:val="0"/>
        <w:spacing w:before="0" w:after="0" w:line="400" w:lineRule="atLeast"/>
        <w:ind w:left="2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温法是祛除寒毒邪和补益清气的一种治法，其主要作用是温清救逆，温中杀寒，从而达到消除寒毒瘦冷、补益清气的目的。属于鼻医解毒法的范畴。</w:t>
      </w:r>
    </w:p>
    <w:p w14:paraId="0AA074C9">
      <w:pPr>
        <w:wordWrap w:val="0"/>
        <w:spacing w:before="0" w:after="0" w:line="400" w:lineRule="atLeast"/>
        <w:ind w:left="2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1.适用范围 温法适用于寒毒邪入里，或由热毒证转变成为寒毒证的疾病。</w:t>
      </w:r>
    </w:p>
    <w:p w14:paraId="23C6DD37">
      <w:pPr>
        <w:wordWrap w:val="0"/>
        <w:spacing w:before="0" w:after="0" w:line="400" w:lineRule="atLeast"/>
        <w:ind w:left="2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2.运用方法 温法主要运用于里寒毒证，但里证患者多有虚象，所以多兼以祛寒温清合用。</w:t>
      </w:r>
    </w:p>
    <w:p w14:paraId="76BE3EE1">
      <w:pPr>
        <w:wordWrap w:val="0"/>
        <w:spacing w:before="0" w:after="0" w:line="400" w:lineRule="atLeast"/>
        <w:ind w:left="2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3.注意事项 温法本为里寒毒证所设，凡有身体有热者应该禁用或慎用。</w:t>
      </w:r>
    </w:p>
    <w:p w14:paraId="4B010D75">
      <w:pPr>
        <w:wordWrap w:val="0"/>
        <w:spacing w:before="0" w:after="0" w:line="340" w:lineRule="exact"/>
        <w:ind w:left="20" w:right="0"/>
        <w:jc w:val="both"/>
        <w:textAlignment w:val="baseline"/>
        <w:rPr>
          <w:sz w:val="30"/>
        </w:rPr>
      </w:pPr>
    </w:p>
    <w:p w14:paraId="41D369B6">
      <w:pPr>
        <w:wordWrap w:val="0"/>
        <w:spacing w:before="0" w:after="0" w:line="420" w:lineRule="atLeast"/>
        <w:ind w:left="2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五、清法</w:t>
      </w:r>
    </w:p>
    <w:p w14:paraId="33B878B2">
      <w:pPr>
        <w:wordWrap w:val="0"/>
        <w:spacing w:before="0" w:after="0" w:line="340" w:lineRule="exact"/>
        <w:ind w:left="20" w:right="0"/>
        <w:jc w:val="both"/>
        <w:textAlignment w:val="baseline"/>
        <w:rPr>
          <w:sz w:val="30"/>
        </w:rPr>
      </w:pPr>
    </w:p>
    <w:p w14:paraId="44D808E3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清法是治疗热毒病的一种治法，具有清热</w:t>
      </w:r>
    </w:p>
    <w:p w14:paraId="48636BCD">
      <w:pPr>
        <w:spacing w:line="20" w:lineRule="exact"/>
        <w:textAlignment w:val="bottom"/>
      </w:pPr>
      <w:r>
        <w:br w:type="column"/>
      </w:r>
    </w:p>
    <w:p w14:paraId="7C913241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降火、除烦解渴的作用。</w:t>
      </w:r>
    </w:p>
    <w:p w14:paraId="1B3EA619">
      <w:pPr>
        <w:wordWrap w:val="0"/>
        <w:spacing w:before="0" w:after="0" w:line="400" w:lineRule="atLeast"/>
        <w:ind w:left="50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1，适用范围 凡热毒病患者。</w:t>
      </w:r>
    </w:p>
    <w:p w14:paraId="089EBC37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2.运用方法 适用于热毒侵袭气血及五脏六腑的患者。</w:t>
      </w:r>
    </w:p>
    <w:p w14:paraId="10695FF5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3.注意事项  身体虚弱或劳伤者禁用或慎用。</w:t>
      </w:r>
    </w:p>
    <w:p w14:paraId="4FF20C65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2FC1C81A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六、消法</w:t>
      </w:r>
    </w:p>
    <w:p w14:paraId="43B64EC9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70905A4A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消法适用于慢性疾病，如长期肝脾肿大患者、不宜用攻下者，以渐消缓散的方法来达到治疗的目的。</w:t>
      </w:r>
    </w:p>
    <w:p w14:paraId="1090A722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1. 适用范围 适用于气、血、痰、食所形成的慢性积聚或痞块凝滞等疾病。</w:t>
      </w:r>
    </w:p>
    <w:p w14:paraId="3DA1AC6C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2.运用方法  适用于瘾瘕积聚、气结血瘀、饮食停滞或虫积等病症。</w:t>
      </w:r>
    </w:p>
    <w:p w14:paraId="449A0F86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3.注意事项 消法虽不比下法峻猛，但用之不当，亦能损害人体。因此，气血虚弱、脾胃虚弱的人应该禁用或慎用。</w:t>
      </w:r>
    </w:p>
    <w:p w14:paraId="1CE0F19F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2AF0B758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七、补法</w:t>
      </w:r>
    </w:p>
    <w:p w14:paraId="4D0A9D54">
      <w:pPr>
        <w:wordWrap w:val="0"/>
        <w:spacing w:before="0" w:after="0" w:line="340" w:lineRule="exact"/>
        <w:ind w:left="0" w:right="0"/>
        <w:jc w:val="both"/>
        <w:textAlignment w:val="baseline"/>
        <w:rPr>
          <w:sz w:val="30"/>
        </w:rPr>
      </w:pPr>
    </w:p>
    <w:p w14:paraId="358D626A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补法是补益人体气血不足，或补益某一脏器虚损的一种治法。补法不仅能使气血恢复，而且还有利于肃清余毒，能收到间接祛毒的效果。</w:t>
      </w:r>
    </w:p>
    <w:p w14:paraId="16CD250A">
      <w:pPr>
        <w:wordWrap w:val="0"/>
        <w:spacing w:before="0" w:after="0" w:line="400" w:lineRule="atLeast"/>
        <w:ind w:left="0" w:right="40" w:firstLine="48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1.适用范围 补法适用于气血不足，体力虚弱患者。</w:t>
      </w:r>
    </w:p>
    <w:p w14:paraId="6CDC6755">
      <w:pPr>
        <w:wordWrap w:val="0"/>
        <w:spacing w:before="0" w:after="0" w:line="400" w:lineRule="atLeast"/>
        <w:ind w:left="0" w:right="0" w:firstLine="48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2.运用方法 补法是运用益气、强筋、补血等强壮的药物进行治疗，根据不同病情决定选用峻补、平补、缓补等不同的方法。</w:t>
      </w:r>
    </w:p>
    <w:p w14:paraId="37974364">
      <w:pPr>
        <w:wordWrap w:val="0"/>
        <w:spacing w:before="0" w:after="0" w:line="400" w:lineRule="atLeast"/>
        <w:ind w:left="0" w:right="20" w:firstLine="480"/>
        <w:jc w:val="both"/>
        <w:textAlignment w:val="baseline"/>
        <w:rPr>
          <w:sz w:val="25"/>
        </w:rPr>
        <w:sectPr>
          <w:type w:val="continuous"/>
          <w:pgSz w:w="11900" w:h="16820"/>
          <w:pgMar w:top="920" w:right="780" w:bottom="920" w:left="780" w:header="720" w:footer="720" w:gutter="0"/>
          <w:cols w:equalWidth="0" w:num="2">
            <w:col w:w="5060" w:space="220"/>
            <w:col w:w="5040"/>
          </w:cols>
        </w:sect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3、注意事项 运用补法首先必须照顾胃肠消化系，如果脾胃不能运化则补剂都不能起到补益的作用，</w:t>
      </w:r>
    </w:p>
    <w:p w14:paraId="5CDF36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26D7205B"/>
    <w:rsid w:val="26D7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2025-02-11T02:20:00Z</dcterms:created>
  <dc:creator>相腾达</dc:creator>
  <cp:lastModifiedBy>相腾达</cp:lastModifiedBy>
  <dcterms:modified xsi:type="dcterms:W3CDTF">2025-02-11T02:20:36Z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325F78A805874B5F9C2B002D740F3907_11</vt:lpwstr>
  </property>
</Properties>
</file>