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2B28A">
      <w:pPr>
        <w:wordWrap w:val="0"/>
        <w:spacing w:before="1180" w:after="0" w:line="580" w:lineRule="atLeast"/>
        <w:ind w:left="0" w:right="0"/>
        <w:jc w:val="center"/>
        <w:textAlignment w:val="baseline"/>
        <w:rPr>
          <w:sz w:val="42"/>
        </w:rPr>
      </w:pPr>
      <w:r>
        <w:rPr>
          <w:rFonts w:ascii="黑体" w:hAnsi="黑体" w:eastAsia="黑体" w:cs="黑体"/>
          <w:b/>
          <w:i w:val="0"/>
          <w:color w:val="000000"/>
          <w:sz w:val="42"/>
        </w:rPr>
        <w:t>第三章 藏药名著《晶珠本草》简介</w:t>
      </w:r>
    </w:p>
    <w:p w14:paraId="11651224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7"/>
        </w:rPr>
      </w:pPr>
    </w:p>
    <w:p w14:paraId="353F1E5D">
      <w:pPr>
        <w:wordWrap w:val="0"/>
        <w:spacing w:before="0" w:after="0" w:line="44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《晶珠本草》又名《药物学广论》或《无垢晶串》(藏名《协称》或《资麦协称》，是著名藏药学家帝玛尔·丹增彭措所著。作者对青海东部、南部，四川西部，西藏东部进行了实地调查，核实资料，并结合对历代藏医药书籍中的记载作了考证，用了20年左右的时间，约于 1743年完成此书，约于 1745年末刻版印刷本问世，实为集藏医本草之大成，留传后世。</w:t>
      </w:r>
    </w:p>
    <w:p w14:paraId="7B7FB89B">
      <w:pPr>
        <w:wordWrap w:val="0"/>
        <w:spacing w:before="0" w:after="0" w:line="44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《晶珠本草》分上、下两部。上部为歌诀之部，以偈颂体写成，对每种药的功效进行概括论述；下部为解释之部，以叙述文写成，分别对每种药物的来源、生境、性味、功效予以叙述。全书分上、下两部，即上部13章总论，下部13章是分论。根据药物来源、生境、质地、入药部位的不同，分为13类，即每章讲叙一类。第一章，珍宝类药166味；第二章，宝石类药594味；第三章，土类药31味；第四章，汁液(精华)类药 150味；第五章，树(茎、干、枝)类药182味；第六章，湿生草类药142味；第七章，旱生草类药266味；第八章，盐碱类药59味；第九章，动物类药448味；第十章，作物类药42味；第十一章，水类药121味；第十二章，火类药11味；第十三章，炮制加工类药82味。在树类，旱生草类，湿生草类药物中又分根及根茎、茎、枝、叶、花、果实、种子及全草类等。在动物药中又分头、脑、角、眼、舌、齿、喉、心、肺、肝、脾、肾、胃、生殖器、骨、骨髓、脂肪、肉、血、皮、毛、爪(蹄)、乳、便、昆虫等。以上共载药物2294味，这是历.代藏医药书籍收载药物数量最多的典著。这本书对药物的分类方法是比较科学的，至今在植物分类学、动物学、天然药物学的分类上仍有其重要的参考价值。</w:t>
      </w:r>
    </w:p>
    <w:p w14:paraId="1411D832">
      <w:pPr>
        <w:wordWrap w:val="0"/>
        <w:spacing w:before="0" w:after="0" w:line="440" w:lineRule="atLeast"/>
        <w:ind w:left="0" w:right="40" w:firstLine="58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《晶珠本草》是集藏药学之大成，是藏药学的经典著作，也是祖国药物学中的一颗明珠。</w:t>
      </w:r>
    </w:p>
    <w:p w14:paraId="07F1F11E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47B011D4">
      <w:pPr>
        <w:wordWrap w:val="0"/>
        <w:spacing w:before="0" w:after="0" w:line="280" w:lineRule="atLeast"/>
        <w:ind w:left="320" w:right="0"/>
        <w:jc w:val="both"/>
        <w:textAlignment w:val="baseline"/>
        <w:rPr>
          <w:sz w:val="20"/>
        </w:rPr>
        <w:sectPr>
          <w:pgSz w:w="11900" w:h="16820"/>
          <w:pgMar w:top="1420" w:right="1780" w:bottom="1420" w:left="1780" w:header="720" w:footer="720" w:gutter="0"/>
          <w:cols w:space="720" w:num="1"/>
        </w:sectPr>
      </w:pPr>
      <w:r>
        <w:rPr>
          <w:rFonts w:ascii="黑体" w:hAnsi="黑体" w:eastAsia="黑体" w:cs="黑体"/>
          <w:b/>
          <w:i w:val="0"/>
          <w:color w:val="000000"/>
          <w:sz w:val="20"/>
        </w:rPr>
        <w:t>·284·</w:t>
      </w:r>
    </w:p>
    <w:p w14:paraId="3EE50020">
      <w:pPr>
        <w:wordWrap w:val="0"/>
        <w:spacing w:before="120" w:after="0" w:line="440" w:lineRule="atLeast"/>
        <w:ind w:left="0" w:right="0" w:firstLine="620"/>
        <w:jc w:val="both"/>
        <w:textAlignment w:val="baseline"/>
        <w:rPr>
          <w:sz w:val="30"/>
        </w:rPr>
      </w:pPr>
      <w:r>
        <w:rPr>
          <w:rFonts w:ascii="楷体" w:hAnsi="楷体" w:eastAsia="楷体" w:cs="楷体"/>
          <w:b/>
          <w:i w:val="0"/>
          <w:color w:val="000000"/>
          <w:sz w:val="30"/>
        </w:rPr>
        <w:t>(1)总结了历代藏本草之精华</w:t>
      </w:r>
      <w:r>
        <w:rPr>
          <w:rFonts w:ascii="宋体" w:hAnsi="宋体" w:eastAsia="宋体" w:cs="宋体"/>
          <w:b/>
          <w:i w:val="0"/>
          <w:color w:val="000000"/>
          <w:sz w:val="30"/>
        </w:rPr>
        <w:t xml:space="preserve">   作者对历代藏医药本草之类的书籍进行了博览核实，从现存最早的《月王药诊》开始，直到17世纪的著作都广泛阅读，在他的著作中引用的著作达130部之多。就其药物种类而言，《月王药诊》记载的329味，《四部医典》记载的 406 味，《甘露八部》、《药性广论》、《蓝琉璃》、《药物大全》等书中记载的药物均全部载入。</w:t>
      </w:r>
    </w:p>
    <w:p w14:paraId="262FEA62">
      <w:pPr>
        <w:wordWrap w:val="0"/>
        <w:spacing w:before="0" w:after="0" w:line="440" w:lineRule="atLeast"/>
        <w:ind w:left="0" w:right="0" w:firstLine="620"/>
        <w:jc w:val="both"/>
        <w:textAlignment w:val="baseline"/>
        <w:rPr>
          <w:sz w:val="30"/>
        </w:rPr>
      </w:pPr>
      <w:r>
        <w:rPr>
          <w:rFonts w:ascii="楷体" w:hAnsi="楷体" w:eastAsia="楷体" w:cs="楷体"/>
          <w:b/>
          <w:i w:val="0"/>
          <w:color w:val="000000"/>
          <w:sz w:val="30"/>
        </w:rPr>
        <w:t>(2)考证了历代本草中记载之谬误</w:t>
      </w:r>
      <w:r>
        <w:rPr>
          <w:rFonts w:ascii="宋体" w:hAnsi="宋体" w:eastAsia="宋体" w:cs="宋体"/>
          <w:b/>
          <w:i w:val="0"/>
          <w:color w:val="000000"/>
          <w:sz w:val="30"/>
        </w:rPr>
        <w:t xml:space="preserve">   作者对收入著作中药物都是经过考证，因此，每种药物都记载别名和出处，有的药物引证的参考书和别名达数十种之多，如诃子一药，引用了10余部书，40余个别名，对有些药物的真伪品种还进行了比较鉴别，如哇夏嘎一药，书中记载：“哇夏嘎又名曲西哇、饶扎哇、贝嘎夏、巴达巴夏，味苦、性寒，清血热、肝热、消肿、止痛、治血热病、肝热病、“赤巴”病。树高如沙棘树，分枝处如鸟爪，茎心松软、枝有节、节膨大，叶大而厚，花黄白色，集生枝端。此为佳品，西藏不产。次品产藏地，叶、茎似香蕾，花有黄白蓝紫之分，亦有优次品之别。这是“冬扪冬迟”和“丝哇”。无哇夏嘎的地方可用它代替。让钧多杰说“冬扪冬迟”和“丝哇”均有清热之效，“丝哇”的植株似糙果紫堇，花黄色，茎细长，味苦，若不分析鉴别药材的样品的性味，而把“冬扪冬迟”和“丝哇”当成哇夏嘎入药，肯定是错误的。”对此，我们考证了这一药物，证明上述鉴别是正确的。哇夏嘎的原植物是爵床科植物鸭嘴花，其特征与《晶珠本草》记载相符。目前各地所用哇夏嘎一药均系代用品冬扪冬迟和丝哇。它对原记谬误之处所作的订正是很有价值的。</w:t>
      </w:r>
    </w:p>
    <w:p w14:paraId="48D795E5">
      <w:pPr>
        <w:wordWrap w:val="0"/>
        <w:spacing w:before="0" w:after="0" w:line="440" w:lineRule="atLeast"/>
        <w:ind w:left="0" w:right="20" w:firstLine="620"/>
        <w:jc w:val="both"/>
        <w:textAlignment w:val="baseline"/>
        <w:rPr>
          <w:sz w:val="30"/>
        </w:rPr>
      </w:pPr>
      <w:r>
        <w:rPr>
          <w:rFonts w:ascii="楷体" w:hAnsi="楷体" w:eastAsia="楷体" w:cs="楷体"/>
          <w:b/>
          <w:i w:val="0"/>
          <w:color w:val="000000"/>
          <w:sz w:val="30"/>
        </w:rPr>
        <w:t>(3)考核了书中记载药物的种类   书中记载药物2294 味。</w:t>
      </w:r>
      <w:r>
        <w:rPr>
          <w:rFonts w:ascii="宋体" w:hAnsi="宋体" w:eastAsia="宋体" w:cs="宋体"/>
          <w:b/>
          <w:i w:val="0"/>
          <w:color w:val="000000"/>
          <w:sz w:val="30"/>
        </w:rPr>
        <w:t>经笔者译注核实有原动、植物1220种。虽有数差，但表明作者当时用药品名的细致。考查其原因：</w:t>
      </w:r>
    </w:p>
    <w:p w14:paraId="46B60607">
      <w:pPr>
        <w:wordWrap w:val="0"/>
        <w:spacing w:before="0" w:after="0" w:line="440" w:lineRule="atLeast"/>
        <w:ind w:left="0" w:right="0" w:firstLine="620"/>
        <w:jc w:val="both"/>
        <w:textAlignment w:val="baseline"/>
        <w:rPr>
          <w:sz w:val="30"/>
        </w:rPr>
      </w:pPr>
      <w:r>
        <w:rPr>
          <w:rFonts w:ascii="宋体" w:hAnsi="宋体" w:eastAsia="宋体" w:cs="宋体"/>
          <w:b/>
          <w:i w:val="0"/>
          <w:color w:val="000000"/>
          <w:sz w:val="30"/>
        </w:rPr>
        <w:t>1)一名多物，再次组合。此种情况主要是矿物(包括水、土在内)药中，按书中记载是984味，核实数是64味。其原因是将一名多物再次组合。如地松脂一品，系指金、银、铜、铁、锡矿石渗出的汁液凝结之物，来源是5种，又将此5种组合，即单一的5 种，两种混</w:t>
      </w:r>
    </w:p>
    <w:p w14:paraId="37D500A2">
      <w:pPr>
        <w:wordWrap w:val="0"/>
        <w:spacing w:before="160" w:after="0" w:line="300" w:lineRule="atLeast"/>
        <w:ind w:left="0" w:right="340"/>
        <w:jc w:val="right"/>
        <w:textAlignment w:val="baseline"/>
        <w:rPr>
          <w:sz w:val="22"/>
        </w:rPr>
        <w:sectPr>
          <w:pgSz w:w="11900" w:h="16820"/>
          <w:pgMar w:top="1320" w:right="1560" w:bottom="1320" w:left="1560" w:header="720" w:footer="720" w:gutter="0"/>
          <w:cols w:space="720" w:num="1"/>
        </w:sectPr>
      </w:pPr>
      <w:r>
        <w:rPr>
          <w:rFonts w:ascii="楷体" w:hAnsi="楷体" w:eastAsia="楷体" w:cs="楷体"/>
          <w:b/>
          <w:i w:val="0"/>
          <w:color w:val="000000"/>
          <w:sz w:val="22"/>
        </w:rPr>
        <w:t>·285·</w:t>
      </w:r>
    </w:p>
    <w:p w14:paraId="7F674382">
      <w:pPr>
        <w:wordWrap w:val="0"/>
        <w:spacing w:before="160" w:after="0" w:line="440" w:lineRule="atLeast"/>
        <w:ind w:left="0" w:right="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合的10种，3种混合的10种，依此组合即成115种。</w:t>
      </w:r>
    </w:p>
    <w:p w14:paraId="4AB16AB5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2)只用总名，不用具体药名。总名类似于植物分类学上的属名。此种名称主要在植物药中常有出现。如“丝哇”一名系泛指紫堇属(Corydalis)多种植物，花的颜色冠以形容词，则有当日丝哇、贾大丝哇、玉周丝哇、格周丝哇、桑格丝哇、木琼丝哇、扎桑丝哇、都拉丝哇、申打丝哇、东木纳合丝哇等名，包括50余种植物。又如“达尔亚干”一名，并非指一种植物或一种药物，目前有些人将此名用东俄洛黄芪(Astragalus tangolensis)是不完全的。“达尔亚干”系指25 种药，在其前冠以形容词，则具体分为25 种。其总名系指豆科中的黄芪属、棘豆属(Oxytropis)、岩黄芪属(Hedysarum)、苜蓿属(Medicago)等属多种植物。</w:t>
      </w:r>
    </w:p>
    <w:p w14:paraId="2B6C5C62">
      <w:pPr>
        <w:wordWrap w:val="0"/>
        <w:spacing w:before="0" w:after="0" w:line="440" w:lineRule="atLeast"/>
        <w:ind w:left="0" w:right="0" w:firstLine="56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3)同一药名(物)，由于生长方位不同或产地不同，则有多种。如诃子本是一名(物)。但却根据产地、生境和树冠的东西南北中上下分为7种诃子，即那木加诃子、布木吉诃子、稍西诃子、排西诃子、吉合迈诃子、格木保诃子、都孜诃子。藏红花也同样如此，分为5种，即克什米尔红花、尼泊尔红花、夏岗玛红花、雷干玛红花、藏红花。</w:t>
      </w:r>
    </w:p>
    <w:p w14:paraId="69E0755F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4)对书中所载的各种药物的应用情况，现核实如下。按原记载数2294味中,植物药占 37.66%,动物药占 19.53%,矿物药(包括水、土在内)42.89%；按实有种类 1220 种计，植物药占31.07%,动物药占百分之36.72%,矿物药占 25.49%。经笔者20余年来调查核实，目前藏医在临床上用药694种中，植物药占64.41%,动物药占 20.1%,矿物药占 14.7%,若按药名来源的原动植物种计算，植物药种类达千种以上，占全部用药的75%以上。</w:t>
      </w:r>
    </w:p>
    <w:p w14:paraId="6DA07B4B">
      <w:pPr>
        <w:wordWrap w:val="0"/>
        <w:spacing w:before="0" w:after="0" w:line="440" w:lineRule="atLeast"/>
        <w:ind w:left="0" w:right="20" w:firstLine="560"/>
        <w:jc w:val="both"/>
        <w:textAlignment w:val="baseline"/>
        <w:rPr>
          <w:sz w:val="28"/>
        </w:rPr>
      </w:pPr>
      <w:r>
        <w:rPr>
          <w:rFonts w:ascii="宋体" w:hAnsi="宋体" w:eastAsia="宋体" w:cs="宋体"/>
          <w:b/>
          <w:i w:val="0"/>
          <w:color w:val="000000"/>
          <w:sz w:val="28"/>
        </w:rPr>
        <w:t>5)《晶珠本草》所载药物，具有浓厚的民族特色和高原特色。如绿绒蒿、獐芽菜、虎耳草、翼首草、独一味、扭连钱、山莨菪、马尿泡等，这些药物均系藏医所用，而且主产青藏高原。此外，还有一部分药物分布在海拔4000米以上，如雪莲花、紫苞风毛菊、榜嘎、乌奴龙胆、短管兔耳草、箭药兔耳草等，这些药物早在《月王药诊》(公元7世纪)中就有记载，沿用至今仍是藏医常用的珍贵药物。</w:t>
      </w:r>
    </w:p>
    <w:p w14:paraId="38F3D83F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9"/>
        </w:rPr>
      </w:pPr>
    </w:p>
    <w:p w14:paraId="566FA90D">
      <w:pPr>
        <w:wordWrap w:val="0"/>
        <w:spacing w:before="0" w:after="0" w:line="260" w:lineRule="atLeast"/>
        <w:ind w:left="360" w:right="0"/>
        <w:jc w:val="both"/>
        <w:textAlignment w:val="baseline"/>
        <w:rPr>
          <w:sz w:val="19"/>
        </w:rPr>
      </w:pPr>
      <w:r>
        <w:rPr>
          <w:rFonts w:ascii="黑体" w:hAnsi="黑体" w:eastAsia="黑体" w:cs="黑体"/>
          <w:b/>
          <w:i w:val="0"/>
          <w:color w:val="000000"/>
          <w:sz w:val="19"/>
        </w:rPr>
        <w:t>·286·</w:t>
      </w:r>
      <w:r>
        <w:br w:type="page"/>
      </w:r>
    </w:p>
    <w:p w14:paraId="3378FBEC">
      <w:pPr>
        <w:wordWrap w:val="0"/>
        <w:spacing w:before="220" w:after="0" w:line="460" w:lineRule="atLeast"/>
        <w:ind w:left="4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6)对药物性味功效具体化。在《月王药诊》、《四部医典》中虽然从理论上提出了六味、八性、十七效。但没有在具体药物上予以体现。而《晶珠本草》中每种药物都讲叙了味、性、效及其用药的注意事项，这就给药物学增添了具体内容，更为学习药物学的人指明了用药的道理所在。</w:t>
      </w:r>
    </w:p>
    <w:p w14:paraId="3B0D1C21">
      <w:pPr>
        <w:wordWrap w:val="0"/>
        <w:spacing w:before="0" w:after="0" w:line="460" w:lineRule="atLeast"/>
        <w:ind w:left="4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7)对药物加工炮制的认识和提高。历代藏本草书籍中记载不多，炮制方法甚少。本书记载加工炮制类药物82种。其中包括挑选、筛、簸、刮、刨、洗、漂、劈、切、碾、炒、煅、熬、膏、煮汁等一般方法。对有些药物则进行特殊加工炮制，如水银有寒性加工与热性加工、寒水石有热性、凉性和盐制3种炮制法。在剂型方面有膏、丹、丸(除水丸、蜜丸外，尚有酥油丸)、散，其中普遍以散剂和丸剂用于临床为多。除此，尚有汤散亦称汤剂，这与中医的汤药不一样，它是将药物研成粗粉煎汤连同药渣一并服下，类似中药的“煮散”。虽然上述加工炮制较之中药粗糙，但在当时的历史条件下，可谓佳矣。</w:t>
      </w:r>
    </w:p>
    <w:p w14:paraId="0C5F2B74">
      <w:pPr>
        <w:wordWrap w:val="0"/>
        <w:spacing w:before="0" w:after="0" w:line="460" w:lineRule="atLeast"/>
        <w:ind w:left="40" w:right="0" w:firstLine="580"/>
        <w:jc w:val="both"/>
        <w:textAlignment w:val="baseline"/>
        <w:rPr>
          <w:sz w:val="27"/>
        </w:rPr>
      </w:pPr>
      <w:r>
        <w:rPr>
          <w:rFonts w:ascii="宋体" w:hAnsi="宋体" w:eastAsia="宋体" w:cs="宋体"/>
          <w:b/>
          <w:i w:val="0"/>
          <w:color w:val="000000"/>
          <w:sz w:val="27"/>
        </w:rPr>
        <w:t>正是由于《晶珠本草》收载药物种类很多，内容丰富，考证全面，订正确切，因此，它为中外研究天然药物的科研工作者所关注，加之所收载之药绝大部分是青藏高原主产或特产，更是引人关注。鉴于它的内容和价值，故可以和《本草纲目》媲美，同样应当列入我国经典本草著作，载入历史和药学教科书中加以介绍。</w:t>
      </w:r>
    </w:p>
    <w:p w14:paraId="5BDEBD5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1ZjFhY2EwZGUyZjQ2OTg4ZDZiNjg2OWQ3YTlmZjgifQ=="/>
  </w:docVars>
  <w:rsids>
    <w:rsidRoot w:val="5044393C"/>
    <w:rsid w:val="5044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2025-02-11T03:14:00Z</dcterms:created>
  <dc:creator>相腾达</dc:creator>
  <cp:lastModifiedBy>相腾达</cp:lastModifiedBy>
  <dcterms:modified xsi:type="dcterms:W3CDTF">2025-02-11T03:14:22Z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2377BEC34B784D83B2743E06AB76F639_11</vt:lpwstr>
  </property>
</Properties>
</file>