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Sprint 1 · Velocity y burndown</w:t>
      </w:r>
    </w:p>
    <w:p>
      <w:pPr>
        <w:spacing w:after="110" w:line="288"/>
      </w:pPr>
      <w:r>
        <w:rPr>
          <w:color w:val="70777D"/>
        </w:rPr>
        <w:t xml:space="preserve">SIGRO — Sistema de Gestión de Recursos de Obra · SEVENS INGENIEROS SAC</w:t>
      </w:r>
    </w:p>
    <w:p>
      <w:pPr>
        <w:spacing w:after="110" w:line="288"/>
      </w:pPr>
      <w:r>
        <w:rPr>
          <w:color w:val="70777D"/>
          <w:sz w:val="19"/>
          <w:szCs w:val="19"/>
        </w:rPr>
        <w:t xml:space="preserve">Corte al jueves 22 de octubre de 2026 (día 8 de 14) · Sprint 1: 15 al 28 de octubre · Scrum Master: Fernando Istaña</w:t>
      </w:r>
    </w:p>
    <w:p>
      <w:pPr>
        <w:pStyle w:val="Heading1"/>
      </w:pPr>
      <w:r>
        <w:t xml:space="preserve">1. La lectura honesta del sprint</w:t>
      </w:r>
    </w:p>
    <w:p>
      <w:pPr>
        <w:spacing w:after="110" w:line="288"/>
      </w:pPr>
      <w:r>
        <w:t xml:space="preserve">El equipo comprometió </w:t>
      </w:r>
      <w:r>
        <w:rPr>
          <w:b/>
          <w:bCs/>
        </w:rPr>
        <w:t xml:space="preserve">29 historias · 153 puntos</w:t>
      </w:r>
      <w:r>
        <w:t xml:space="preserve">. Al día 8, </w:t>
      </w:r>
      <w:r>
        <w:rPr>
          <w:b/>
          <w:bCs/>
        </w:rPr>
        <w:t xml:space="preserve">ninguna historia cumple todavía la Definición de Terminado</w:t>
      </w:r>
      <w:r>
        <w:t xml:space="preserve"> — no porque el trabajo no exista, sino porque el flujo que la DoD exige (Pull Request aprobado por otro, despliegue en pruebas, aceptación del Product Owner) aún no corre: el repositorio no está publicado y el PO no ha marcado criterios. A la vez, </w:t>
      </w:r>
      <w:r>
        <w:rPr>
          <w:b/>
          <w:bCs/>
        </w:rPr>
        <w:t xml:space="preserve">10 historias (53 puntos) ya se demuestran desde la interfaz con datos reales del cliente</w:t>
      </w:r>
      <w:r>
        <w:t xml:space="preserve">. El burndown muestra las dos lecturas a propósito: la brecha entre ambas líneas es exactamente el trabajo de gestión pendiente, no de código.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288"/>
      </w:pPr>
      <w:r>
        <w:rPr>
          <w:color w:val="70777D"/>
          <w:sz w:val="19"/>
          <w:szCs w:val="19"/>
        </w:rPr>
        <w:t xml:space="preserve">Lectura: la línea «Ideal» baja 153 → 0 entre el 15 y el 28. «Demostrable» registra lo construido y verificable desde la interfaz (bajó a 100 restantes entre el 20 y el 22). «Terminado según DoD» sigue en 153: es la línea que la Review del 28 tiene que mover.</w:t>
      </w:r>
    </w:p>
    <w:p>
      <w:pPr>
        <w:pStyle w:val="Heading1"/>
      </w:pPr>
      <w:r>
        <w:t xml:space="preserve">2. Velocity</w:t>
      </w:r>
    </w:p>
    <w:p>
      <w:pPr>
        <w:spacing w:after="110" w:line="288"/>
      </w:pPr>
      <w:r>
        <w:t xml:space="preserve">Primera medición del equipo: no hay sprints anteriores, así que el velocity real se conocerá recién al cierre. Dos escenarios para el 28 de octubre: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Escenario base · 53</w:t>
      </w:r>
      <w:r>
        <w:t xml:space="preserve"> puntos — si el Product Owner acepta las 10 historias hoy demostrables y nada más. Implica replanificar el Sprint 2 (comprometido: 121 pts) a la mitad o menos.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Escenario de empuje · 75–85 puntos</w:t>
      </w:r>
      <w:r>
        <w:t xml:space="preserve"> — si además Henry levanta el esqueleto de la API (HU-01, HU-03, HU-12) y Nicolás la cola local (HU-37/38) en los días que quedan. Exigente pero posible.</w:t>
      </w:r>
    </w:p>
    <w:p>
      <w:pPr>
        <w:spacing w:after="110" w:line="288"/>
      </w:pPr>
      <w:r>
        <w:rPr>
          <w:b/>
          <w:bCs/>
        </w:rPr>
        <w:t xml:space="preserve">Regla para la Review: </w:t>
      </w:r>
      <w:r>
        <w:t xml:space="preserve">una historia que no cumple la DoD no se declara terminada aunque «casi esté». Un velocity honesto de </w:t>
      </w:r>
      <w:r>
        <w:rPr>
          <w:b/>
          <w:bCs/>
        </w:rPr>
        <w:t xml:space="preserve">53</w:t>
      </w:r>
      <w:r>
        <w:t xml:space="preserve"> vale más que uno inflado de 153: es el único número con el que se puede planificar el Sprint 2 sin mentirse.</w:t>
      </w:r>
    </w:p>
    <w:p>
      <w:pPr>
        <w:pStyle w:val="Heading1"/>
      </w:pPr>
      <w:r>
        <w:t xml:space="preserve">3. Qué mueve la línea roja esta semana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Hoy · Fernando:</w:t>
      </w:r>
      <w:r>
        <w:t xml:space="preserve"> publicar el repositorio (privado: contiene presupuestos y proveedores del cliente) y abrir Pull Requests por módulo de lo ya construido. Sin esto, nada puede cumplir la DoD.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Jue–vie · Adiel:</w:t>
      </w:r>
      <w:r>
        <w:t xml:space="preserve"> como PO, recorrer las 10 demostrables contra sus criterios y aceptarlas o rechazarlas en las tarjetas.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Jue–lun · Henry:</w:t>
      </w:r>
      <w:r>
        <w:t xml:space="preserve"> esqueleto FastAPI + primeras migraciones; el contrato ya existe (interfaz ClienteSigro de la web, método por método).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Jue–lun · Nicolás:</w:t>
      </w:r>
      <w:r>
        <w:t xml:space="preserve"> proyecto Android con la cola local primero (HU-37/38); las pantallas ya están diseñadas.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Decisión · Fernando:</w:t>
      </w:r>
      <w:r>
        <w:t xml:space="preserve"> HU-16 (APU) y HU-19 (requerimiento total) siguen pendientes en integraciones: decidir si entran esta semana o se declaran al Sprint 2 en la Review.</w:t>
      </w:r>
    </w:p>
    <w:p>
      <w:pPr>
        <w:pStyle w:val="Heading1"/>
      </w:pPr>
      <w:r>
        <w:t xml:space="preserve">4. Estado historia por historia</w:t>
      </w:r>
    </w:p>
    <w:p>
      <w:pPr>
        <w:spacing w:after="110" w:line="288"/>
      </w:pPr>
      <w:r>
        <w:rPr>
          <w:color w:val="70777D"/>
          <w:sz w:val="19"/>
          <w:szCs w:val="19"/>
        </w:rPr>
        <w:t xml:space="preserve">«Demostrable» = se enseña funcionando desde la interfaz, con datos reales, pero aún sin PR ni aceptación del PO. Propuesto por el Scrum Master; el PO confirma o corrige.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00"/>
        <w:gridCol w:w="1900"/>
        <w:gridCol w:w="4000"/>
      </w:tblGrid>
      <w:tr>
        <w:trPr>
          <w:tblHeader/>
        </w:trPr>
        <w:tc>
          <w:tcPr>
            <w:tcW w:type="dxa" w:w="900"/>
            <w:shd w:fill="FFF1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9A3E00"/>
                <w:sz w:val="19"/>
                <w:szCs w:val="19"/>
              </w:rPr>
              <w:t xml:space="preserve">HU</w:t>
            </w:r>
          </w:p>
        </w:tc>
        <w:tc>
          <w:tcPr>
            <w:tcW w:type="dxa" w:w="2600"/>
            <w:shd w:fill="FFF1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9A3E00"/>
                <w:sz w:val="19"/>
                <w:szCs w:val="19"/>
              </w:rPr>
              <w:t xml:space="preserve">Historia</w:t>
            </w:r>
          </w:p>
        </w:tc>
        <w:tc>
          <w:tcPr>
            <w:tcW w:type="dxa" w:w="600"/>
            <w:shd w:fill="FFF1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9A3E00"/>
                <w:sz w:val="19"/>
                <w:szCs w:val="19"/>
              </w:rPr>
              <w:t xml:space="preserve">Pts</w:t>
            </w:r>
          </w:p>
        </w:tc>
        <w:tc>
          <w:tcPr>
            <w:tcW w:type="dxa" w:w="1900"/>
            <w:shd w:fill="FFF1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9A3E00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4000"/>
            <w:shd w:fill="FFF1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9A3E00"/>
                <w:sz w:val="19"/>
                <w:szCs w:val="19"/>
              </w:rPr>
              <w:t xml:space="preserve">Estado al 22 oct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HU-01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Creación del proyecto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HU-03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División en semanas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HU-07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Importación del catálogo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Integraciones</w:t>
            </w:r>
          </w:p>
        </w:tc>
        <w:tc>
          <w:tcPr>
            <w:tcW w:type="dxa" w:w="40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DEMOSTRABLE — Micro de integraciones: importación probada con el archivo real del S10 (284 insumos, S/ 1 479 338.33)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HU-08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Alta estandarizada de insumo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DEMOSTRABLE — Web · Catálogo: alta con código generado, duplicado rechazado, estado «por verificar»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HU-12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Inicio de sesión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HU-13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Acceso por rol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HU-14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Asignación a obra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HU-15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Dispositivo autorizado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Android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HU-16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Importación del APU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Integraciones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HU-17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Factor de conversión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HU-19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Requerimiento total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Integraciones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HU-23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Avance de compra y consumo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Web</w:t>
            </w:r>
          </w:p>
        </w:tc>
        <w:tc>
          <w:tcPr>
            <w:tcW w:type="dxa" w:w="40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DEMOSTRABLE — Web · Costo de obra: % comprado/recibido/consumido por insumo, en unidad de compra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HU-24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Saldo por comprar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Web</w:t>
            </w:r>
          </w:p>
        </w:tc>
        <w:tc>
          <w:tcPr>
            <w:tcW w:type="dxa" w:w="40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DEMOSTRABLE — Web · Reposición: falta por comprar, filtros por fase y crítico, exportación CSV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HU-25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Parámetros de reposición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HU-26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Alerta de reposición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HU-27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Sugerencia de compra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HU-29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Lista de proveedores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Web</w:t>
            </w:r>
          </w:p>
        </w:tc>
        <w:tc>
          <w:tcPr>
            <w:tcW w:type="dxa" w:w="40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DEMOSTRABLE — Web · Proveedores: búsqueda sobre los 626 reales del cliente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HU-30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Alta rápida de proveedor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Web</w:t>
            </w:r>
          </w:p>
        </w:tc>
        <w:tc>
          <w:tcPr>
            <w:tcW w:type="dxa" w:w="40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DEMOSTRABLE — Web · Alta desde la compra, RUC único, queda seleccionado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HU-32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Registro de la compra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Web</w:t>
            </w:r>
          </w:p>
        </w:tc>
        <w:tc>
          <w:tcPr>
            <w:tcW w:type="dxa" w:w="40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DEMOSTRABLE — Web · Compra con comprobante único por proveedor, base/IGV/total, sin mover stock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HU-35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Recepción de la compra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Web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HU-37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Registro sin señal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Android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HU-38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Sincronización de pendientes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Android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HU-40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Salida de material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Android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HU-43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Consulta de stock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DEMOSTRABLE — Web · Stock por almacén y consolidado, derivado del libro de movimientos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HU-45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Corrección trazable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DEMOSTRABLE — Web · Reverso que apunta al original sin tocarlo; saldo recalculado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HU-55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Salida valorizada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HU-57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Consumo contra lo presupuestado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Web</w:t>
            </w:r>
          </w:p>
        </w:tc>
        <w:tc>
          <w:tcPr>
            <w:tcW w:type="dxa" w:w="40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DEMOSTRABLE — Web · Desviación contra el S10 real, no planificados aparte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HU-62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Registro del trabajador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HU-63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Asistencia de la jornada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Android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Diseño listo (pantalla/modelo); código sin empezar</w:t>
            </w:r>
          </w:p>
        </w:tc>
      </w:tr>
    </w:tbl>
    <w:p>
      <w:pPr>
        <w:pStyle w:val="Heading1"/>
      </w:pPr>
      <w:r>
        <w:t xml:space="preserve">5. Resumen por responsable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3600"/>
      </w:tblGrid>
      <w:tr>
        <w:trPr>
          <w:tblHeader/>
        </w:trPr>
        <w:tc>
          <w:tcPr>
            <w:tcW w:type="dxa" w:w="2600"/>
            <w:shd w:fill="FFF1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9A3E00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600"/>
            <w:shd w:fill="FFF1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9A3E00"/>
                <w:sz w:val="19"/>
                <w:szCs w:val="19"/>
              </w:rPr>
              <w:t xml:space="preserve">Comprometido</w:t>
            </w:r>
          </w:p>
        </w:tc>
        <w:tc>
          <w:tcPr>
            <w:tcW w:type="dxa" w:w="2200"/>
            <w:shd w:fill="FFF1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9A3E00"/>
                <w:sz w:val="19"/>
                <w:szCs w:val="19"/>
              </w:rPr>
              <w:t xml:space="preserve">Demostrable</w:t>
            </w:r>
          </w:p>
        </w:tc>
        <w:tc>
          <w:tcPr>
            <w:tcW w:type="dxa" w:w="3600"/>
            <w:shd w:fill="FFF1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9A3E00"/>
                <w:sz w:val="19"/>
                <w:szCs w:val="19"/>
              </w:rPr>
              <w:t xml:space="preserve">Pendiente de código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Backend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63 pts</w:t>
            </w:r>
          </w:p>
        </w:tc>
        <w:tc>
          <w:tcPr>
            <w:tcW w:type="dxa" w:w="22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15 pts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48 pts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Integraciones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21 pts</w:t>
            </w:r>
          </w:p>
        </w:tc>
        <w:tc>
          <w:tcPr>
            <w:tcW w:type="dxa" w:w="22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8 pts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13 pts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Android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31 pts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0 pts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31 pts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Web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38 pts</w:t>
            </w:r>
          </w:p>
        </w:tc>
        <w:tc>
          <w:tcPr>
            <w:tcW w:type="dxa" w:w="2200"/>
            <w:shd w:fill="FA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30 pts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1C1D1F"/>
                <w:sz w:val="19"/>
                <w:szCs w:val="19"/>
              </w:rPr>
              <w:t xml:space="preserve">8 pts</w:t>
            </w:r>
          </w:p>
        </w:tc>
      </w:tr>
    </w:tbl>
    <w:p>
      <w:pPr>
        <w:spacing w:after="110" w:line="288"/>
      </w:pPr>
      <w:r>
        <w:t xml:space="preserve"/>
      </w:r>
    </w:p>
    <w:p>
      <w:pPr>
        <w:spacing w:after="110" w:line="288"/>
      </w:pPr>
      <w:r>
        <w:rPr>
          <w:color w:val="70777D"/>
          <w:sz w:val="19"/>
          <w:szCs w:val="19"/>
        </w:rPr>
        <w:t xml:space="preserve">Nota de método: la web de oficina corre hoy sobre una capa de API simulada que respeta las reglas del dominio (saldo derivado, reverso, idempotencia); «demostrable» no equivale a «integrada». El micro de integraciones sí consume servicios reales (SUNAT y RENIEC vía Factiliza) y fue probado con los archivos reales del cliente, conforme exige la Definición de Terminado.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C1D1F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360"/>
    </w:pPr>
    <w:rPr>
      <w:b/>
      <w:bCs/>
      <w:color w:val="C241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b/>
      <w:bCs/>
      <w:color w:val="1C1D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9e57a2e682475dd2863171a77132d94ffa23b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2026-10-22T08:24:08.196Z</dcterms:created>
  <dcterms:modified xsi:type="dcterms:W3CDTF">2026-10-22T08:24:08.209Z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