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26"/>
          <w:szCs w:val="26"/>
        </w:rPr>
        <w:t xml:space="preserve">SIGRO · Sistema de Gestión de Recursos de Obra</w:t>
      </w:r>
    </w:p>
    <w:p>
      <w:pPr>
        <w:spacing w:after="40"/>
        <w:jc w:val="center"/>
      </w:pPr>
      <w:r>
        <w:rPr>
          <w:rFonts w:ascii="Calibri" w:cs="Calibri" w:eastAsia="Calibri" w:hAnsi="Calibri"/>
          <w:b/>
          <w:bCs/>
          <w:color w:val="1F3864"/>
          <w:sz w:val="34"/>
          <w:szCs w:val="34"/>
        </w:rPr>
        <w:t xml:space="preserve">Registro de decisiones de arquitectura</w:t>
      </w:r>
    </w:p>
    <w:p>
      <w:pPr>
        <w:spacing w:after="30"/>
        <w:jc w:val="center"/>
      </w:pPr>
      <w:r>
        <w:rPr>
          <w:rFonts w:ascii="Calibri" w:cs="Calibri" w:eastAsia="Calibri" w:hAnsi="Calibri"/>
          <w:color w:val="6B7987"/>
          <w:sz w:val="20"/>
          <w:szCs w:val="20"/>
        </w:rPr>
        <w:t xml:space="preserve">SEVENS INGENIEROS SAC · versión 1.0 · 21 de octubre de 2026</w:t>
      </w:r>
    </w:p>
    <w:p>
      <w:pPr>
        <w:spacing w:after="240"/>
        <w:jc w:val="center"/>
      </w:pPr>
      <w:r>
        <w:rPr>
          <w:rFonts w:ascii="Calibri" w:cs="Calibri" w:eastAsia="Calibri" w:hAnsi="Calibri"/>
          <w:i/>
          <w:iCs/>
          <w:color w:val="6B7987"/>
          <w:sz w:val="18"/>
          <w:szCs w:val="18"/>
        </w:rPr>
        <w:t xml:space="preserve">SWEBOK v4 · área de Arquitectura del software y área de Diseño</w:t>
      </w:r>
    </w:p>
    <w:p>
      <w:pPr>
        <w:spacing w:after="100" w:line="276"/>
        <w:ind w:left="0"/>
        <w:jc w:val="both"/>
      </w:pPr>
      <w:r>
        <w:rPr>
          <w:rFonts w:ascii="Calibri" w:cs="Calibri" w:eastAsia="Calibri" w:hAnsi="Calibri"/>
          <w:sz w:val="20"/>
          <w:szCs w:val="20"/>
        </w:rPr>
        <w:t xml:space="preserve">Cada decisión de arquitectura se registra con el contexto que la obligó, las alternativas que se evaluaron y las consecuencias que se aceptan. Una decisión sin alternativas descartadas no es una decisión: es una costumbre. Estas fichas se escriben una sola vez y se revisan únicamente cuando cambia el contexto que las originó.</w:t>
      </w:r>
    </w:p>
    <w:p>
      <w:pPr>
        <w:shd w:fill="44546A" w:color="auto" w:val="clear"/>
        <w:spacing w:after="0" w:before="280"/>
      </w:pPr>
      <w:r>
        <w:rPr>
          <w:rFonts w:ascii="Calibri" w:cs="Calibri" w:eastAsia="Calibri" w:hAnsi="Calibri"/>
          <w:b/>
          <w:bCs/>
          <w:color w:val="FFFFFF"/>
          <w:sz w:val="22"/>
          <w:szCs w:val="22"/>
        </w:rPr>
        <w:t xml:space="preserve">  ADR-01 · Monolito modular para la API y un microservicio aparte para las integraciones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900"/>
        <w:gridCol w:w="8500"/>
      </w:tblGrid>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Estado</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Aceptada · 21 de octubre de 2026</w:t>
            </w:r>
          </w:p>
        </w:tc>
      </w:tr>
      <w:tr>
        <w:tc>
          <w:tcPr>
            <w:tcW w:type="dxa" w:w="19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Contexto</w:t>
            </w:r>
          </w:p>
        </w:tc>
        <w:tc>
          <w:tcPr>
            <w:tcW w:type="dxa" w:w="8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El sistema tiene seis dominios —obra, catálogo, almacén, compras, costo y tareo— y dos integraciones con sistemas de terceros: la importación de los reportes del S10 y la consulta de RUC en SUNAT. El equipo son cuatro personas con dedicación parcial y cuatro semanas de construcción.</w:t>
            </w:r>
          </w:p>
        </w:tc>
      </w:tr>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Decisión</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La API se construye como una sola aplicación con módulos separados por dominio, cada uno con su propio esquema de datos y sin consultas cruzadas directas entre módulos. Las integraciones viven en un servicio independiente que expone su propia interfaz.</w:t>
            </w:r>
          </w:p>
        </w:tc>
      </w:tr>
      <w:tr>
        <w:tc>
          <w:tcPr>
            <w:tcW w:type="dxa" w:w="19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Alternativas descartadas</w:t>
            </w:r>
          </w:p>
        </w:tc>
        <w:tc>
          <w:tcPr>
            <w:tcW w:type="dxa" w:w="8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Microservicios por dominio: el despliegue, la observabilidad y la coordinación cuestan más de lo que el equipo puede pagar en cuatro semanas. · Monolito sin separar integraciones: una importación de 237 insumos bloquearía el hilo que atiende al almacenero en obra.</w:t>
            </w:r>
          </w:p>
        </w:tc>
      </w:tr>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Consecuencias</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 favor: una sola aplicación que desplegar y depurar, y los módulos ya quedan delimitados por si mañana hay que separarlos. · En contra: la disciplina de no cruzar módulos depende del equipo, no del compilador; se vigila en la revisión del Pull Request.</w:t>
            </w:r>
          </w:p>
        </w:tc>
      </w:tr>
    </w:tbl>
    <w:p>
      <w:pPr>
        <w:shd w:fill="44546A" w:color="auto" w:val="clear"/>
        <w:spacing w:after="0" w:before="280"/>
      </w:pPr>
      <w:r>
        <w:rPr>
          <w:rFonts w:ascii="Calibri" w:cs="Calibri" w:eastAsia="Calibri" w:hAnsi="Calibri"/>
          <w:b/>
          <w:bCs/>
          <w:color w:val="FFFFFF"/>
          <w:sz w:val="22"/>
          <w:szCs w:val="22"/>
        </w:rPr>
        <w:t xml:space="preserve">  ADR-02 · Cliente del almacenero en Android nativo, no como aplicación web</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900"/>
        <w:gridCol w:w="8500"/>
      </w:tblGrid>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Estado</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Aceptada · 21 de octubre de 2026</w:t>
            </w:r>
          </w:p>
        </w:tc>
      </w:tr>
      <w:tr>
        <w:tc>
          <w:tcPr>
            <w:tcW w:type="dxa" w:w="19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Contexto</w:t>
            </w:r>
          </w:p>
        </w:tc>
        <w:tc>
          <w:tcPr>
            <w:tcW w:type="dxa" w:w="8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El registro ocurre parado en la obra, donde la señal falla. El movimiento debe sobrevivir a que el sistema cierre la aplicación y enviarse solo cuando vuelva la cobertura. Es la historia crítica del proyecto: si falla, nadie va a volver a la oficina a registrar una salida.</w:t>
            </w:r>
          </w:p>
        </w:tc>
      </w:tr>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Decisión</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La aplicación del almacenero se construye en Kotlin con Jetpack Compose, guarda los movimientos en Room y los envía con WorkManager.</w:t>
            </w:r>
          </w:p>
        </w:tc>
      </w:tr>
      <w:tr>
        <w:tc>
          <w:tcPr>
            <w:tcW w:type="dxa" w:w="19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Alternativas descartadas</w:t>
            </w:r>
          </w:p>
        </w:tc>
        <w:tc>
          <w:tcPr>
            <w:tcW w:type="dxa" w:w="8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Aplicación web instalable: el almacenamiento del navegador puede ser descartado por el sistema operativo y el envío en segundo plano no está garantizado en todos los dispositivos. · React Native: añade una capa entre la aplicación y las garantías de persistencia que justamente se necesitan.</w:t>
            </w:r>
          </w:p>
        </w:tc>
      </w:tr>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Consecuencias</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 favor: la persistencia y el reintento quedan en manos de componentes diseñados para eso. · En contra: la web de oficina se construye aparte, y el equipo mantiene dos bases de código. Se asume porque la web y la aplicación de obra atienden necesidades distintas.</w:t>
            </w:r>
          </w:p>
        </w:tc>
      </w:tr>
    </w:tbl>
    <w:p>
      <w:pPr>
        <w:shd w:fill="44546A" w:color="auto" w:val="clear"/>
        <w:spacing w:after="0" w:before="280"/>
      </w:pPr>
      <w:r>
        <w:rPr>
          <w:rFonts w:ascii="Calibri" w:cs="Calibri" w:eastAsia="Calibri" w:hAnsi="Calibri"/>
          <w:b/>
          <w:bCs/>
          <w:color w:val="FFFFFF"/>
          <w:sz w:val="22"/>
          <w:szCs w:val="22"/>
        </w:rPr>
        <w:t xml:space="preserve">  ADR-03 · El movimiento es un libro que no se borra y el saldo se deriva de él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900"/>
        <w:gridCol w:w="8500"/>
      </w:tblGrid>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Estado</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Aceptada · 21 de octubre de 2026</w:t>
            </w:r>
          </w:p>
        </w:tc>
      </w:tr>
      <w:tr>
        <w:tc>
          <w:tcPr>
            <w:tcW w:type="dxa" w:w="19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Contexto</w:t>
            </w:r>
          </w:p>
        </w:tc>
        <w:tc>
          <w:tcPr>
            <w:tcW w:type="dxa" w:w="8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El problema que origina el proyecto es que nadie puede reconstruir qué pasó con el material. Un saldo guardado en una columna editable se puede corregir sin dejar rastro, que es exactamente lo que hoy ocurre con el cuaderno y las hojas de cálculo.</w:t>
            </w:r>
          </w:p>
        </w:tc>
      </w:tr>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Decisión</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Ningún movimiento se modifica ni se elimina. Una corrección es un movimiento inverso que referencia al original y guarda autor, fecha y motivo. El stock no se almacena: se calcula a partir de los movimientos y lo devuelve el servidor.</w:t>
            </w:r>
          </w:p>
        </w:tc>
      </w:tr>
      <w:tr>
        <w:tc>
          <w:tcPr>
            <w:tcW w:type="dxa" w:w="19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Alternativas descartadas</w:t>
            </w:r>
          </w:p>
        </w:tc>
        <w:tc>
          <w:tcPr>
            <w:tcW w:type="dxa" w:w="8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Guardar el saldo y actualizarlo en cada operación: más rápido de consultar, pero pierde la trazabilidad y abre la puerta a saldos que no cuadran con su historia.</w:t>
            </w:r>
          </w:p>
        </w:tc>
      </w:tr>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Consecuencias</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 favor: toda cifra del sistema se puede explicar movimiento por movimiento, que es lo que el cliente necesita para confiar en ella. · En contra: la consulta de stock cuesta más; se resuelve con índices y, si hiciera falta, con un saldo precalculado que se reconstruye desde los movimientos y nunca se edita.</w:t>
            </w:r>
          </w:p>
        </w:tc>
      </w:tr>
    </w:tbl>
    <w:p>
      <w:pPr>
        <w:shd w:fill="44546A" w:color="auto" w:val="clear"/>
        <w:spacing w:after="0" w:before="280"/>
      </w:pPr>
      <w:r>
        <w:rPr>
          <w:rFonts w:ascii="Calibri" w:cs="Calibri" w:eastAsia="Calibri" w:hAnsi="Calibri"/>
          <w:b/>
          <w:bCs/>
          <w:color w:val="FFFFFF"/>
          <w:sz w:val="22"/>
          <w:szCs w:val="22"/>
        </w:rPr>
        <w:t xml:space="preserve">  ADR-04 · Cada movimiento lleva un identificador generado en el dispositivo</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900"/>
        <w:gridCol w:w="8500"/>
      </w:tblGrid>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Estado</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Aceptada · 21 de octubre de 2026</w:t>
            </w:r>
          </w:p>
        </w:tc>
      </w:tr>
      <w:tr>
        <w:tc>
          <w:tcPr>
            <w:tcW w:type="dxa" w:w="19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Contexto</w:t>
            </w:r>
          </w:p>
        </w:tc>
        <w:tc>
          <w:tcPr>
            <w:tcW w:type="dxa" w:w="8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Un movimiento registrado sin señal se reenvía cuando vuelve la cobertura. Si el envío llega dos veces, el material saldría dos veces del almacén y el saldo quedaría mal sin que nadie lo note.</w:t>
            </w:r>
          </w:p>
        </w:tc>
      </w:tr>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Decisión</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El dispositivo genera un identificador único para cada movimiento antes de encolarlo. El servidor lo usa como clave de idempotencia: si recibe uno repetido, no crea nada y devuelve el resultado del original.</w:t>
            </w:r>
          </w:p>
        </w:tc>
      </w:tr>
      <w:tr>
        <w:tc>
          <w:tcPr>
            <w:tcW w:type="dxa" w:w="19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Alternativas descartadas</w:t>
            </w:r>
          </w:p>
        </w:tc>
        <w:tc>
          <w:tcPr>
            <w:tcW w:type="dxa" w:w="8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Deduplicar comparando campos (fecha, insumo, cantidad): dos salidas legítimas e iguales el mismo día serían indistinguibles de un duplicado.</w:t>
            </w:r>
          </w:p>
        </w:tc>
      </w:tr>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Consecuencias</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 favor: el reintento deja de ser peligroso, de modo que el envío puede reintentarse sin límite. · En contra: obliga a conservar los identificadores recibidos; se purgan junto con el cierre de la obra.</w:t>
            </w:r>
          </w:p>
        </w:tc>
      </w:tr>
    </w:tbl>
    <w:p>
      <w:pPr>
        <w:shd w:fill="44546A" w:color="auto" w:val="clear"/>
        <w:spacing w:after="0" w:before="280"/>
      </w:pPr>
      <w:r>
        <w:rPr>
          <w:rFonts w:ascii="Calibri" w:cs="Calibri" w:eastAsia="Calibri" w:hAnsi="Calibri"/>
          <w:b/>
          <w:bCs/>
          <w:color w:val="FFFFFF"/>
          <w:sz w:val="22"/>
          <w:szCs w:val="22"/>
        </w:rPr>
        <w:t xml:space="preserve">  ADR-05 · La salida se valoriza al costo promedio ponderado y el valor queda congelado</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900"/>
        <w:gridCol w:w="8500"/>
      </w:tblGrid>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Estado</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Aceptada · 21 de octubre de 2026</w:t>
            </w:r>
          </w:p>
        </w:tc>
      </w:tr>
      <w:tr>
        <w:tc>
          <w:tcPr>
            <w:tcW w:type="dxa" w:w="19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Contexto</w:t>
            </w:r>
          </w:p>
        </w:tc>
        <w:tc>
          <w:tcPr>
            <w:tcW w:type="dxa" w:w="8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El cliente necesita saber cuánto cuesta lo que consume, y el mismo insumo entra a precios distintos a lo largo de la obra. La NIC 2 admite promedio ponderado o PEPS para el costeo de existencias.</w:t>
            </w:r>
          </w:p>
        </w:tc>
      </w:tr>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Decisión</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Cada ingreso recalcula el costo promedio del insumo en ese almacén. Cada salida toma el promedio vigente en ese instante y lo guarda en el movimiento, de modo que un ingreso posterior no cambia el costo de una salida ya registrada.</w:t>
            </w:r>
          </w:p>
        </w:tc>
      </w:tr>
      <w:tr>
        <w:tc>
          <w:tcPr>
            <w:tcW w:type="dxa" w:w="19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Alternativas descartadas</w:t>
            </w:r>
          </w:p>
        </w:tc>
        <w:tc>
          <w:tcPr>
            <w:tcW w:type="dxa" w:w="8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PEPS: más fiel cuando los precios se mueven mucho, pero exige seguir lotes, y el almacenero no los distingue al despachar. · Tomar el precio del presupuesto: no refleja lo que la empresa pagó.</w:t>
            </w:r>
          </w:p>
        </w:tc>
      </w:tr>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Consecuencias</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 favor: el costo de una salida es estable y auditable. · En contra: el promedio suaviza las variaciones de precio; el reporte lo declara para que nadie lo lea como precio de compra.</w:t>
            </w:r>
          </w:p>
        </w:tc>
      </w:tr>
    </w:tbl>
    <w:p>
      <w:pPr>
        <w:shd w:fill="44546A" w:color="auto" w:val="clear"/>
        <w:spacing w:after="0" w:before="280"/>
      </w:pPr>
      <w:r>
        <w:rPr>
          <w:rFonts w:ascii="Calibri" w:cs="Calibri" w:eastAsia="Calibri" w:hAnsi="Calibri"/>
          <w:b/>
          <w:bCs/>
          <w:color w:val="FFFFFF"/>
          <w:sz w:val="22"/>
          <w:szCs w:val="22"/>
        </w:rPr>
        <w:t xml:space="preserve">  ADR-06 · Despliegue en nube gestionada con base de datos administrada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900"/>
        <w:gridCol w:w="8500"/>
      </w:tblGrid>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Estado</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Aceptada · 21 de octubre de 2026</w:t>
            </w:r>
          </w:p>
        </w:tc>
      </w:tr>
      <w:tr>
        <w:tc>
          <w:tcPr>
            <w:tcW w:type="dxa" w:w="19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Contexto</w:t>
            </w:r>
          </w:p>
        </w:tc>
        <w:tc>
          <w:tcPr>
            <w:tcW w:type="dxa" w:w="8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La Definición de Terminado exige que alguien distinto del autor ejecute la historia en un ambiente de pruebas. El cliente debe poder probar el sistema sin depender de una laptop del equipo. El presupuesto del proyecto es cero.</w:t>
            </w:r>
          </w:p>
        </w:tc>
      </w:tr>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Decisión</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La API y la web se despliegan en un servicio de nube de nivel gratuito, con PostgreSQL administrado y migraciones versionadas. La aplicación Android se reparte como archivo de instalación por enlace.</w:t>
            </w:r>
          </w:p>
        </w:tc>
      </w:tr>
      <w:tr>
        <w:tc>
          <w:tcPr>
            <w:tcW w:type="dxa" w:w="19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Alternativas descartadas</w:t>
            </w:r>
          </w:p>
        </w:tc>
        <w:tc>
          <w:tcPr>
            <w:tcW w:type="dxa" w:w="8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Servidor propio contratado: cuesta dinero del bolsillo del equipo y suma administración. · Solo local: incumple la Definición de Terminado y deja al cliente sin forma de probar.</w:t>
            </w:r>
          </w:p>
        </w:tc>
      </w:tr>
      <w:tr>
        <w:tc>
          <w:tcPr>
            <w:tcW w:type="dxa" w:w="1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Consecuencias</w:t>
            </w:r>
          </w:p>
        </w:tc>
        <w:tc>
          <w:tcPr>
            <w:tcW w:type="dxa" w:w="8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 favor: hay un ambiente real que el cliente y el docente pueden abrir. · En contra: los niveles gratuitos suspenden el servicio por inactividad y la primera petición tarda; se advierte antes de cada demostración.</w:t>
            </w:r>
          </w:p>
        </w:tc>
      </w:tr>
    </w:tbl>
    <w:p>
      <w:pPr>
        <w:spacing w:before="300"/>
      </w:pPr>
      <w:r>
        <w:rPr>
          <w:rFonts w:ascii="Calibri" w:cs="Calibri" w:eastAsia="Calibri" w:hAnsi="Calibri"/>
          <w:i/>
          <w:iCs/>
          <w:color w:val="6B7987"/>
          <w:sz w:val="18"/>
          <w:szCs w:val="18"/>
        </w:rPr>
        <w:t xml:space="preserve">Una decisión aceptada solo se revisa si cambia el contexto que la originó. La revisión produce una ficha nueva que sustituye a la anterior; la anterior no se borra.</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2026-10-21T03:53:38.258Z</dcterms:created>
  <dcterms:modified xsi:type="dcterms:W3CDTF">2026-10-21T03:53:38.258Z</dcterms:modified>
</cp:coreProperties>
</file>

<file path=docProps/custom.xml><?xml version="1.0" encoding="utf-8"?>
<Properties xmlns="http://schemas.openxmlformats.org/officeDocument/2006/custom-properties" xmlns:vt="http://schemas.openxmlformats.org/officeDocument/2006/docPropsVTypes"/>
</file>