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SIGRO · Sistema de Gestión de Recursos de Obra</w:t>
      </w:r>
    </w:p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1F3864"/>
          <w:sz w:val="34"/>
          <w:szCs w:val="34"/>
        </w:rPr>
        <w:t xml:space="preserve">Fichas de cambio de requisitos</w:t>
      </w:r>
    </w:p>
    <w:p>
      <w:pPr>
        <w:spacing w:after="30"/>
        <w:jc w:val="center"/>
      </w:pPr>
      <w:r>
        <w:rPr>
          <w:rFonts w:ascii="Calibri" w:cs="Calibri" w:eastAsia="Calibri" w:hAnsi="Calibri"/>
          <w:color w:val="6B7987"/>
          <w:sz w:val="20"/>
          <w:szCs w:val="20"/>
        </w:rPr>
        <w:t xml:space="preserve">SEVENS INGENIEROS SAC · versión 1.0 · 21 de octubre de 2026</w:t>
      </w:r>
    </w:p>
    <w:p>
      <w:pPr>
        <w:spacing w:after="240"/>
        <w:jc w:val="center"/>
      </w:pPr>
      <w:r>
        <w:rPr>
          <w:rFonts w:ascii="Calibri" w:cs="Calibri" w:eastAsia="Calibri" w:hAnsi="Calibri"/>
          <w:i/>
          <w:iCs/>
          <w:color w:val="6B7987"/>
          <w:sz w:val="18"/>
          <w:szCs w:val="18"/>
        </w:rPr>
        <w:t xml:space="preserve">SWEBOK v4 · área de Requisitos del software, gestión y trazabilidad del cambio</w:t>
      </w:r>
    </w:p>
    <w:p>
      <w:pPr>
        <w:spacing w:after="100" w:line="276"/>
        <w:ind w:left="0"/>
        <w:jc w:val="both"/>
      </w:pPr>
      <w:r>
        <w:rPr>
          <w:rFonts w:ascii="Calibri" w:cs="Calibri" w:eastAsia="Calibri" w:hAnsi="Calibri"/>
          <w:sz w:val="20"/>
          <w:szCs w:val="20"/>
        </w:rPr>
        <w:t xml:space="preserve">Un requisito que cambia sin dejar constancia es un requisito que nadie aprobó. Cada ficha registra qué se pidió, quién lo pidió, por qué se acepta, qué historias toca y qué documentos hay que actualizar, de modo que la trazabilidad entre el problema, los objetivos y el producto se mantenga después del cambio y no solo antes.</w:t>
      </w:r>
    </w:p>
    <w:p>
      <w:pPr>
        <w:shd w:fill="44546A" w:color="auto" w:val="clear"/>
        <w:spacing w:after="0" w:before="28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  CR-01 · La mano de obra entra al alcance del producto</w:t>
      </w:r>
    </w:p>
    <w:tbl>
      <w:tblPr>
        <w:tblW w:type="dxa" w:w="10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8300"/>
      </w:tblGrid>
      <w:tr>
        <w:tc>
          <w:tcPr>
            <w:tcW w:type="dxa" w:w="2100"/>
            <w:shd w:fill="FCE4D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Fecha</w:t>
            </w:r>
          </w:p>
        </w:tc>
        <w:tc>
          <w:tcPr>
            <w:tcW w:type="dxa" w:w="8300"/>
            <w:shd w:fill="FCE4D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16 de octubre de 2026</w:t>
            </w:r>
          </w:p>
        </w:tc>
      </w:tr>
      <w:tr>
        <w:tc>
          <w:tcPr>
            <w:tcW w:type="dxa" w:w="21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Solicitante</w:t>
            </w:r>
          </w:p>
        </w:tc>
        <w:tc>
          <w:tcPr>
            <w:tcW w:type="dxa" w:w="83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Cliente, por intermedio del Scrum Master</w:t>
            </w:r>
          </w:p>
        </w:tc>
      </w:tr>
      <w:tr>
        <w:tc>
          <w:tcPr>
            <w:tcW w:type="dxa" w:w="2100"/>
            <w:shd w:fill="FCE4D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Estado</w:t>
            </w:r>
          </w:p>
        </w:tc>
        <w:tc>
          <w:tcPr>
            <w:tcW w:type="dxa" w:w="8300"/>
            <w:shd w:fill="FCE4D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Aprobado</w:t>
            </w:r>
          </w:p>
        </w:tc>
      </w:tr>
      <w:tr>
        <w:tc>
          <w:tcPr>
            <w:tcW w:type="dxa" w:w="21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Qué cambia</w:t>
            </w:r>
          </w:p>
        </w:tc>
        <w:tc>
          <w:tcPr>
            <w:tcW w:type="dxa" w:w="83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Los recursos de obra son tres familias: materiales, herramientas y equipos, y horas hombre. El producto cubría solo las dos primeras; la tercera estaba declarada como alcance posterior en la decisión D6.</w:t>
            </w:r>
          </w:p>
        </w:tc>
      </w:tr>
      <w:tr>
        <w:tc>
          <w:tcPr>
            <w:tcW w:type="dxa" w:w="2100"/>
            <w:shd w:fill="FCE4D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Por qué se acepta</w:t>
            </w:r>
          </w:p>
        </w:tc>
        <w:tc>
          <w:tcPr>
            <w:tcW w:type="dxa" w:w="8300"/>
            <w:shd w:fill="FCE4D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enunciado del problema habla de «recursos de obra», y el propio S10 agrupa los recursos en mano de obra, materiales y equipos. Dejar fuera una de las tres familias rompía la correspondencia entre el problema y el producto.</w:t>
            </w:r>
          </w:p>
        </w:tc>
      </w:tr>
      <w:tr>
        <w:tc>
          <w:tcPr>
            <w:tcW w:type="dxa" w:w="21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Cómo se resuelve</w:t>
            </w:r>
          </w:p>
        </w:tc>
        <w:tc>
          <w:tcPr>
            <w:tcW w:type="dxa" w:w="83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Se crea la épica E7, Controlar la asistencia de la mano de obra, con cuatro historias: registrar al trabajador, registrar la asistencia de la jornada, consultar las horas acumuladas y consultar el costo de la mano de obra. Se limita al tareo; los rendimientos siguen fuera (decisión D7).</w:t>
            </w:r>
          </w:p>
        </w:tc>
      </w:tr>
      <w:tr>
        <w:tc>
          <w:tcPr>
            <w:tcW w:type="dxa" w:w="2100"/>
            <w:shd w:fill="FCE4D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Qué hay que actualizar</w:t>
            </w:r>
          </w:p>
        </w:tc>
        <w:tc>
          <w:tcPr>
            <w:tcW w:type="dxa" w:w="8300"/>
            <w:shd w:fill="FCE4D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Product Backlog, Sprint Backlog 1, plan de los dos sprints y plantilla de estimación. Pendiente: el Project Charter y el diagnóstico siguen con seis causas y seis objetivos específicos frente a siete épicas.</w:t>
            </w:r>
          </w:p>
        </w:tc>
      </w:tr>
      <w:tr>
        <w:tc>
          <w:tcPr>
            <w:tcW w:type="dxa" w:w="21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Impacto en la estimación</w:t>
            </w:r>
          </w:p>
        </w:tc>
        <w:tc>
          <w:tcPr>
            <w:tcW w:type="dxa" w:w="83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16 puntos adicionales, de los cuales 8 entran al Sprint 1.</w:t>
            </w:r>
          </w:p>
        </w:tc>
      </w:tr>
    </w:tbl>
    <w:p>
      <w:pPr>
        <w:shd w:fill="44546A" w:color="auto" w:val="clear"/>
        <w:spacing w:after="0" w:before="28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  CR-02 · Se crea el rol de ingeniero SSOMA</w:t>
      </w:r>
    </w:p>
    <w:tbl>
      <w:tblPr>
        <w:tblW w:type="dxa" w:w="10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8300"/>
      </w:tblGrid>
      <w:tr>
        <w:tc>
          <w:tcPr>
            <w:tcW w:type="dxa" w:w="2100"/>
            <w:shd w:fill="FCE4D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Fecha</w:t>
            </w:r>
          </w:p>
        </w:tc>
        <w:tc>
          <w:tcPr>
            <w:tcW w:type="dxa" w:w="8300"/>
            <w:shd w:fill="FCE4D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21 de octubre de 2026</w:t>
            </w:r>
          </w:p>
        </w:tc>
      </w:tr>
      <w:tr>
        <w:tc>
          <w:tcPr>
            <w:tcW w:type="dxa" w:w="21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Solicitante</w:t>
            </w:r>
          </w:p>
        </w:tc>
        <w:tc>
          <w:tcPr>
            <w:tcW w:type="dxa" w:w="83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Ing. Junior Cercado, revisor técnico, a partir de la práctica del cliente</w:t>
            </w:r>
          </w:p>
        </w:tc>
      </w:tr>
      <w:tr>
        <w:tc>
          <w:tcPr>
            <w:tcW w:type="dxa" w:w="2100"/>
            <w:shd w:fill="FCE4D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Estado</w:t>
            </w:r>
          </w:p>
        </w:tc>
        <w:tc>
          <w:tcPr>
            <w:tcW w:type="dxa" w:w="8300"/>
            <w:shd w:fill="FCE4D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Aprobado, pendiente de precisar permisos</w:t>
            </w:r>
          </w:p>
        </w:tc>
      </w:tr>
      <w:tr>
        <w:tc>
          <w:tcPr>
            <w:tcW w:type="dxa" w:w="21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Qué cambia</w:t>
            </w:r>
          </w:p>
        </w:tc>
        <w:tc>
          <w:tcPr>
            <w:tcW w:type="dxa" w:w="83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preveía cuatro roles: almacenero, residente de obra, administrador y gerente. En la obra, quien registra y da de baja al personal obrero es el almacenero o el ingeniero de seguridad y salud ocupacional.</w:t>
            </w:r>
          </w:p>
        </w:tc>
      </w:tr>
      <w:tr>
        <w:tc>
          <w:tcPr>
            <w:tcW w:type="dxa" w:w="2100"/>
            <w:shd w:fill="FCE4D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Por qué se acepta</w:t>
            </w:r>
          </w:p>
        </w:tc>
        <w:tc>
          <w:tcPr>
            <w:tcW w:type="dxa" w:w="8300"/>
            <w:shd w:fill="FCE4D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ingeniero SSOMA es responsable del personal y de los equipos de protección. Forzarlo a usar el perfil del almacenero le daría acceso a material, compras y costos, que no le corresponden, y rompería el principio de permiso mínimo.</w:t>
            </w:r>
          </w:p>
        </w:tc>
      </w:tr>
      <w:tr>
        <w:tc>
          <w:tcPr>
            <w:tcW w:type="dxa" w:w="21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Cómo se resuelve</w:t>
            </w:r>
          </w:p>
        </w:tc>
        <w:tc>
          <w:tcPr>
            <w:tcW w:type="dxa" w:w="83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Se añade el rol como quinto perfil del sistema. Sus permisos quedan definidos en la Matriz de roles y permisos v1.0. Cada obra pasa a admitir hasta dos dispositivos autorizados, uno por responsable.</w:t>
            </w:r>
          </w:p>
        </w:tc>
      </w:tr>
      <w:tr>
        <w:tc>
          <w:tcPr>
            <w:tcW w:type="dxa" w:w="2100"/>
            <w:shd w:fill="FCE4D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Qué hay que actualizar</w:t>
            </w:r>
          </w:p>
        </w:tc>
        <w:tc>
          <w:tcPr>
            <w:tcW w:type="dxa" w:w="8300"/>
            <w:shd w:fill="FCE4D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Matriz de roles y permisos, HU-13 (asignar rol), HU-14 (asignar usuarios a obras), HU-15 (autorizar dispositivo) y las cuatro historias de la épica E7.</w:t>
            </w:r>
          </w:p>
        </w:tc>
      </w:tr>
      <w:tr>
        <w:tc>
          <w:tcPr>
            <w:tcW w:type="dxa" w:w="21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Impacto en la estimación</w:t>
            </w:r>
          </w:p>
        </w:tc>
        <w:tc>
          <w:tcPr>
            <w:tcW w:type="dxa" w:w="83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Sin puntos nuevos: se absorbe en las historias existentes, que ya contemplaban roles parametrizables.</w:t>
            </w:r>
          </w:p>
        </w:tc>
      </w:tr>
    </w:tbl>
    <w:p>
      <w:pPr>
        <w:shd w:fill="44546A" w:color="auto" w:val="clear"/>
        <w:spacing w:after="0" w:before="28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  CR-03 · El producto informa el gasto en recursos, no el costo total de la obra</w:t>
      </w:r>
    </w:p>
    <w:tbl>
      <w:tblPr>
        <w:tblW w:type="dxa" w:w="10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8300"/>
      </w:tblGrid>
      <w:tr>
        <w:tc>
          <w:tcPr>
            <w:tcW w:type="dxa" w:w="2100"/>
            <w:shd w:fill="FCE4D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Fecha</w:t>
            </w:r>
          </w:p>
        </w:tc>
        <w:tc>
          <w:tcPr>
            <w:tcW w:type="dxa" w:w="8300"/>
            <w:shd w:fill="FCE4D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21 de octubre de 2026</w:t>
            </w:r>
          </w:p>
        </w:tc>
      </w:tr>
      <w:tr>
        <w:tc>
          <w:tcPr>
            <w:tcW w:type="dxa" w:w="21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Solicitante</w:t>
            </w:r>
          </w:p>
        </w:tc>
        <w:tc>
          <w:tcPr>
            <w:tcW w:type="dxa" w:w="83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Ing. Junior Cercado, revisor técnico</w:t>
            </w:r>
          </w:p>
        </w:tc>
      </w:tr>
      <w:tr>
        <w:tc>
          <w:tcPr>
            <w:tcW w:type="dxa" w:w="2100"/>
            <w:shd w:fill="FCE4D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Estado</w:t>
            </w:r>
          </w:p>
        </w:tc>
        <w:tc>
          <w:tcPr>
            <w:tcW w:type="dxa" w:w="8300"/>
            <w:shd w:fill="FCE4D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Aprobado</w:t>
            </w:r>
          </w:p>
        </w:tc>
      </w:tr>
      <w:tr>
        <w:tc>
          <w:tcPr>
            <w:tcW w:type="dxa" w:w="21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Qué cambia</w:t>
            </w:r>
          </w:p>
        </w:tc>
        <w:tc>
          <w:tcPr>
            <w:tcW w:type="dxa" w:w="83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Los objetivos de sprint prometían que el gerente vería «cuánto costó la obra», y el backlog hablaba de «compras» y de comparar contra «lo presupuestado».</w:t>
            </w:r>
          </w:p>
        </w:tc>
      </w:tr>
      <w:tr>
        <w:tc>
          <w:tcPr>
            <w:tcW w:type="dxa" w:w="2100"/>
            <w:shd w:fill="FCE4D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Por qué se acepta</w:t>
            </w:r>
          </w:p>
        </w:tc>
        <w:tc>
          <w:tcPr>
            <w:tcW w:type="dxa" w:w="8300"/>
            <w:shd w:fill="FCE4D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registra material, herramientas y horas hombre. El costo total de una obra incluye además gastos generales, subcontratos, servicios y planilla, que el producto no toca. Prometer el costo total obliga a entrar en contabilidad, que no es este producto, y hablar de «compras» invita a exigir esa parte.</w:t>
            </w:r>
          </w:p>
        </w:tc>
      </w:tr>
      <w:tr>
        <w:tc>
          <w:tcPr>
            <w:tcW w:type="dxa" w:w="21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Cómo se resuelve</w:t>
            </w:r>
          </w:p>
        </w:tc>
        <w:tc>
          <w:tcPr>
            <w:tcW w:type="dxa" w:w="83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Tres ajustes de lenguaje con efecto en el alcance: los objetivos dicen «ingresos y salidas de material» en lugar de «compras»; dicen «planificado» en lugar de «presupuestado»; y la historia del tablero pasa a llamarse «Consultar el gasto en recursos de la obra», con un criterio que declara qué queda fuera.</w:t>
            </w:r>
          </w:p>
        </w:tc>
      </w:tr>
      <w:tr>
        <w:tc>
          <w:tcPr>
            <w:tcW w:type="dxa" w:w="2100"/>
            <w:shd w:fill="FCE4D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Qué hay que actualizar</w:t>
            </w:r>
          </w:p>
        </w:tc>
        <w:tc>
          <w:tcPr>
            <w:tcW w:type="dxa" w:w="8300"/>
            <w:shd w:fill="FCE4D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Objetivos de los dos sprints, HU-58 y sus criterios, HU-56, épica E3 (renombrada a «Registrar las compras y sus recepciones») y el plan de construcción del equipo.</w:t>
            </w:r>
          </w:p>
        </w:tc>
      </w:tr>
      <w:tr>
        <w:tc>
          <w:tcPr>
            <w:tcW w:type="dxa" w:w="21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Impacto en la estimación</w:t>
            </w:r>
          </w:p>
        </w:tc>
        <w:tc>
          <w:tcPr>
            <w:tcW w:type="dxa" w:w="83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Sin puntos nuevos.</w:t>
            </w:r>
          </w:p>
        </w:tc>
      </w:tr>
    </w:tbl>
    <w:p>
      <w:pPr>
        <w:spacing w:after="120" w:before="26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Procedimiento acordado</w:t>
      </w:r>
    </w:p>
    <w:tbl>
      <w:tblPr>
        <w:tblW w:type="dxa" w:w="10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8000"/>
      </w:tblGrid>
      <w:tr>
        <w:trPr>
          <w:tblHeader/>
        </w:trPr>
        <w:tc>
          <w:tcPr>
            <w:tcW w:type="dxa" w:w="2400"/>
            <w:shd w:fill="44546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Paso</w:t>
            </w:r>
          </w:p>
        </w:tc>
        <w:tc>
          <w:tcPr>
            <w:tcW w:type="dxa" w:w="8000"/>
            <w:shd w:fill="44546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Quién y cómo</w:t>
            </w:r>
          </w:p>
        </w:tc>
      </w:tr>
      <w:tr>
        <w:tc>
          <w:tcPr>
            <w:tcW w:type="dxa" w:w="2400"/>
            <w:shd w:fill="FCE4D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1. Se registra</w:t>
            </w:r>
          </w:p>
        </w:tc>
        <w:tc>
          <w:tcPr>
            <w:tcW w:type="dxa" w:w="8000"/>
            <w:shd w:fill="FCE4D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Cualquier integrante abre una ficha en cuanto el cliente o el revisor pide algo distinto de lo acordado. Antes de discutirlo, se escribe.</w:t>
            </w:r>
          </w:p>
        </w:tc>
      </w:tr>
      <w:tr>
        <w:tc>
          <w:tcPr>
            <w:tcW w:type="dxa" w:w="24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2. Se analiza el impacto</w:t>
            </w:r>
          </w:p>
        </w:tc>
        <w:tc>
          <w:tcPr>
            <w:tcW w:type="dxa" w:w="80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Scrum Master lista las historias, los documentos y los puntos afectados. Ningún cambio se acepta sin esa lista.</w:t>
            </w:r>
          </w:p>
        </w:tc>
      </w:tr>
      <w:tr>
        <w:tc>
          <w:tcPr>
            <w:tcW w:type="dxa" w:w="2400"/>
            <w:shd w:fill="FCE4D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3. Se aprueba</w:t>
            </w:r>
          </w:p>
        </w:tc>
        <w:tc>
          <w:tcPr>
            <w:tcW w:type="dxa" w:w="8000"/>
            <w:shd w:fill="FCE4D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Product Owner acepta o rechaza. Un cambio aprobado a mitad de sprint entra al siguiente, salvo que el Sprint Goal deje de tener sentido sin él.</w:t>
            </w:r>
          </w:p>
        </w:tc>
      </w:tr>
      <w:tr>
        <w:tc>
          <w:tcPr>
            <w:tcW w:type="dxa" w:w="24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4. Se propaga</w:t>
            </w:r>
          </w:p>
        </w:tc>
        <w:tc>
          <w:tcPr>
            <w:tcW w:type="dxa" w:w="80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Se actualizan el Product Backlog, el Sprint Backlog, los objetivos de sprint y el Project Charter. La ficha no se cierra hasta que todos digan lo mismo.</w:t>
            </w:r>
          </w:p>
        </w:tc>
      </w:tr>
    </w:tbl>
    <w:p>
      <w:pPr>
        <w:spacing w:before="300"/>
      </w:pPr>
      <w:r>
        <w:rPr>
          <w:rFonts w:ascii="Calibri" w:cs="Calibri" w:eastAsia="Calibri" w:hAnsi="Calibri"/>
          <w:i/>
          <w:iCs/>
          <w:color w:val="6B7987"/>
          <w:sz w:val="18"/>
          <w:szCs w:val="18"/>
        </w:rPr>
        <w:t xml:space="preserve">Las tres fichas de este documento están aprobadas y propagadas, salvo el Project Charter y el diagnóstico, pendientes de actualizar por CR-01 y CR-02.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2026-10-21T03:53:38.276Z</dcterms:created>
  <dcterms:modified xsi:type="dcterms:W3CDTF">2026-10-21T03:53:38.276Z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