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SIGRO · Sistema de Gestión de Recursos de Obra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Plan de gestión de configuración y de pruebas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6B7987"/>
          <w:sz w:val="20"/>
          <w:szCs w:val="20"/>
        </w:rPr>
        <w:t xml:space="preserve">SEVENS INGENIEROS SAC · versión 1.0 · 21 de octubre de 2026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987"/>
          <w:sz w:val="18"/>
          <w:szCs w:val="18"/>
        </w:rPr>
        <w:t xml:space="preserve">SWEBOK v4 · áreas de Gestión de la configuración, Pruebas y Construcción</w:t>
      </w:r>
    </w:p>
    <w:p>
      <w:pPr>
        <w:spacing w:after="100" w:line="276"/>
        <w:ind w:left="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Este plan dice qué se versiona, cómo entra un cambio y cómo se prueba lo que se construye. Es corto a propósito: un plan que nadie sigue no sirve, y el equipo son cuatro personas con dedicación parcial.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 Ítems de configuración</w:t>
      </w:r>
    </w:p>
    <w:p>
      <w:pPr>
        <w:spacing w:after="100" w:line="276"/>
        <w:ind w:left="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Es ítem de configuración todo aquello cuyo cambio puede romper el producto o invalidar un acuerdo. Cada uno tiene un responsable y vive en un único lugar.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4800"/>
      </w:tblGrid>
      <w:tr>
        <w:trPr>
          <w:tblHeader/>
        </w:trPr>
        <w:tc>
          <w:tcPr>
            <w:tcW w:type="dxa" w:w="26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Ítem</w:t>
            </w:r>
          </w:p>
        </w:tc>
        <w:tc>
          <w:tcPr>
            <w:tcW w:type="dxa" w:w="30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Dónde vive</w:t>
            </w:r>
          </w:p>
        </w:tc>
        <w:tc>
          <w:tcPr>
            <w:tcW w:type="dxa" w:w="48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 y regla</w:t>
            </w:r>
          </w:p>
        </w:tc>
      </w:tr>
      <w:tr>
        <w:tc>
          <w:tcPr>
            <w:tcW w:type="dxa" w:w="26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de la API y del microservicio</w:t>
            </w:r>
          </w:p>
        </w:tc>
        <w:tc>
          <w:tcPr>
            <w:tcW w:type="dxa" w:w="30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Repositorio sevens-sgr</w:t>
            </w:r>
          </w:p>
        </w:tc>
        <w:tc>
          <w:tcPr>
            <w:tcW w:type="dxa" w:w="48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Henry Ticona. Entra por Pull Request aprobado por otro.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de la aplicación Android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Repositorio sevens-sgr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Nicolás Pachamora. Misma regla.</w:t>
            </w:r>
          </w:p>
        </w:tc>
      </w:tr>
      <w:tr>
        <w:tc>
          <w:tcPr>
            <w:tcW w:type="dxa" w:w="26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de la web</w:t>
            </w:r>
          </w:p>
        </w:tc>
        <w:tc>
          <w:tcPr>
            <w:tcW w:type="dxa" w:w="30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Repositorio sevens-sgr</w:t>
            </w:r>
          </w:p>
        </w:tc>
        <w:tc>
          <w:tcPr>
            <w:tcW w:type="dxa" w:w="48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Víctor Luján. Misma regla.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Esquema de la base de datos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Migraciones versionadas en el repositorio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Henry Ticona. Ninguna migración se aplica a mano: solo por migración versionada y reversible.</w:t>
            </w:r>
          </w:p>
        </w:tc>
      </w:tr>
      <w:tr>
        <w:tc>
          <w:tcPr>
            <w:tcW w:type="dxa" w:w="26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Archivos del cliente</w:t>
            </w:r>
          </w:p>
        </w:tc>
        <w:tc>
          <w:tcPr>
            <w:tcW w:type="dxa" w:w="30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Carpeta de insumos del cliente, sin modificar</w:t>
            </w:r>
          </w:p>
        </w:tc>
        <w:tc>
          <w:tcPr>
            <w:tcW w:type="dxa" w:w="48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Fernando Istaña. Los reportes del S10 se conservan tal como el cliente los entregó; cualquier derivado se genera, no se edita.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Documentos del proyecto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Carpeta de entregables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Fernando Istaña. Cada documento lleva versión y fecha en su portada.</w:t>
            </w:r>
          </w:p>
        </w:tc>
      </w:tr>
      <w:tr>
        <w:tc>
          <w:tcPr>
            <w:tcW w:type="dxa" w:w="26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Archivo de instalación de Android</w:t>
            </w:r>
          </w:p>
        </w:tc>
        <w:tc>
          <w:tcPr>
            <w:tcW w:type="dxa" w:w="30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Publicado por enlace en cada cierre de sprint</w:t>
            </w:r>
          </w:p>
        </w:tc>
        <w:tc>
          <w:tcPr>
            <w:tcW w:type="dxa" w:w="48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Nicolás Pachamora.</w:t>
            </w:r>
          </w:p>
        </w:tc>
      </w:tr>
    </w:tbl>
    <w:p>
      <w:pP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 Cómo entra un cambio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0"/>
      </w:tblGrid>
      <w:tr>
        <w:trPr>
          <w:tblHeader/>
        </w:trPr>
        <w:tc>
          <w:tcPr>
            <w:tcW w:type="dxa" w:w="24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80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Ramas</w:t>
            </w:r>
          </w:p>
        </w:tc>
        <w:tc>
          <w:tcPr>
            <w:tcW w:type="dxa" w:w="80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main siempre desplegable. Una rama por historia, nombrada con su código: hu-39-salida-material.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Pull Request</w:t>
            </w:r>
          </w:p>
        </w:tc>
        <w:tc>
          <w:tcPr>
            <w:tcW w:type="dxa" w:w="8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Obligatorio, aprobado por un integrante distinto del autor, aunque el cambio sea de una línea. El PR referencia la historia y marca qué criterios de aceptación cubre.</w:t>
            </w:r>
          </w:p>
        </w:tc>
      </w:tr>
      <w:tr>
        <w:tc>
          <w:tcPr>
            <w:tcW w:type="dxa" w:w="2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Migraciones</w:t>
            </w:r>
          </w:p>
        </w:tc>
        <w:tc>
          <w:tcPr>
            <w:tcW w:type="dxa" w:w="80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Toda migración corre sobre una base limpia y sobre una con datos, y declara cómo revertirse.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Línea base</w:t>
            </w:r>
          </w:p>
        </w:tc>
        <w:tc>
          <w:tcPr>
            <w:tcW w:type="dxa" w:w="8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 cerrar cada sprint se etiqueta el repositorio (sprint-1, sprint-2). Esa etiqueta es lo que se demuestra en la Sprint Review y lo que se entrega al docente.</w:t>
            </w:r>
          </w:p>
        </w:tc>
      </w:tr>
      <w:tr>
        <w:tc>
          <w:tcPr>
            <w:tcW w:type="dxa" w:w="2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Archivo de contexto</w:t>
            </w:r>
          </w:p>
        </w:tc>
        <w:tc>
          <w:tcPr>
            <w:tcW w:type="dxa" w:w="80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repositorio lleva un archivo donde se escriben las reglas de dominio que cada historia precisó. Si una historia aclara una regla y no queda escrita ahí, no está terminada.</w:t>
            </w:r>
          </w:p>
        </w:tc>
      </w:tr>
    </w:tbl>
    <w:p>
      <w:r>
        <w:br w:type="page"/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 Niveles de prueba</w:t>
      </w:r>
    </w:p>
    <w:p>
      <w:pPr>
        <w:spacing w:after="100" w:line="276"/>
        <w:ind w:left="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No se busca un porcentaje de cobertura: se busca que lo que puede arruinar el producto esté probado. Cada nivel responde a una pregunta distinta.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800"/>
      </w:tblGrid>
      <w:tr>
        <w:trPr>
          <w:tblHeader/>
        </w:trPr>
        <w:tc>
          <w:tcPr>
            <w:tcW w:type="dxa" w:w="22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34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prueba</w:t>
            </w:r>
          </w:p>
        </w:tc>
        <w:tc>
          <w:tcPr>
            <w:tcW w:type="dxa" w:w="48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debe quedar cubierto sí o sí</w:t>
            </w:r>
          </w:p>
        </w:tc>
      </w:tr>
      <w:tr>
        <w:tc>
          <w:tcPr>
            <w:tcW w:type="dxa" w:w="2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Unitaria de dominio</w:t>
            </w:r>
          </w:p>
        </w:tc>
        <w:tc>
          <w:tcPr>
            <w:tcW w:type="dxa" w:w="3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lógica sola, sin base de datos</w:t>
            </w:r>
          </w:p>
        </w:tc>
        <w:tc>
          <w:tcPr>
            <w:tcW w:type="dxa" w:w="48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cálculo del saldo a partir de los movimientos · el costo promedio ponderado tras varios ingresos a precios distintos · la generación de los periodos semanales · el factor de conversión del acero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Integración de la API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endpoints contra una base real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Que un reenvío con el mismo identificador no cree un segundo movimiento · que no se pueda sacar más de lo disponible · que un rol sin permiso reciba un rechazo del servidor · que un movimiento no admita modificación ni borrado</w:t>
            </w:r>
          </w:p>
        </w:tc>
      </w:tr>
      <w:tr>
        <w:tc>
          <w:tcPr>
            <w:tcW w:type="dxa" w:w="2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Instrumentada de Android</w:t>
            </w:r>
          </w:p>
        </w:tc>
        <w:tc>
          <w:tcPr>
            <w:tcW w:type="dxa" w:w="3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aplicación en el dispositivo</w:t>
            </w:r>
          </w:p>
        </w:tc>
        <w:tc>
          <w:tcPr>
            <w:tcW w:type="dxa" w:w="48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en modo avión, cerrar la aplicación, recuperar la señal y comprobar que el movimiento llegó una sola vez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Aceptación por historia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comportamiento acordado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Cada criterio de aceptación de la historia, recorrido por el Product Owner con los datos del caso real</w:t>
            </w:r>
          </w:p>
        </w:tc>
      </w:tr>
    </w:tbl>
    <w:p>
      <w:pP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 Datos de prueba</w:t>
      </w:r>
    </w:p>
    <w:p>
      <w:pPr>
        <w:spacing w:after="100" w:line="276"/>
        <w:ind w:left="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Las pruebas de importación se hacen con los reportes reales que el cliente entregó el 21 de octubre: el presupuesto 2701006, subpresupuesto 002 «Multifamiliar Flores». La relación de insumos trae 237 materiales, 6 insumos de mano de obra con sus horas planificadas, 18 equipos y 23 subcontratos. No se inventan archivos de ejemplo para dar por buena una importación: una historia de importación probada con datos fabricados no está terminada.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 Ambientes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200"/>
      </w:tblGrid>
      <w:tr>
        <w:trPr>
          <w:tblHeader/>
        </w:trPr>
        <w:tc>
          <w:tcPr>
            <w:tcW w:type="dxa" w:w="22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Ambiente</w:t>
            </w:r>
          </w:p>
        </w:tc>
        <w:tc>
          <w:tcPr>
            <w:tcW w:type="dxa" w:w="82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qué</w:t>
            </w:r>
          </w:p>
        </w:tc>
      </w:tr>
      <w:tr>
        <w:tc>
          <w:tcPr>
            <w:tcW w:type="dxa" w:w="2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Local</w:t>
            </w:r>
          </w:p>
        </w:tc>
        <w:tc>
          <w:tcPr>
            <w:tcW w:type="dxa" w:w="8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Desarrollo de cada integrante. Base de datos propia, datos de prueba cargados con un script del repositorio.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Pruebas</w:t>
            </w:r>
          </w:p>
        </w:tc>
        <w:tc>
          <w:tcPr>
            <w:tcW w:type="dxa" w:w="8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Nube gestionada. Es donde alguien distinto del autor ejecuta la historia antes de darla por terminada, y donde el cliente la prueba antes de la Sprint Review.</w:t>
            </w:r>
          </w:p>
        </w:tc>
      </w:tr>
      <w:tr>
        <w:tc>
          <w:tcPr>
            <w:tcW w:type="dxa" w:w="2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Producción</w:t>
            </w:r>
          </w:p>
        </w:tc>
        <w:tc>
          <w:tcPr>
            <w:tcW w:type="dxa" w:w="8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existe en el Sprint 1. Se evalúa al cerrar el Sprint 2, con datos reales de una obra en curso y previo acuerdo con el cliente.</w:t>
            </w:r>
          </w:p>
        </w:tc>
      </w:tr>
    </w:tbl>
    <w:p>
      <w:pP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 Defectos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200"/>
      </w:tblGrid>
      <w:tr>
        <w:trPr>
          <w:tblHeader/>
        </w:trPr>
        <w:tc>
          <w:tcPr>
            <w:tcW w:type="dxa" w:w="22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82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Dónde se registran</w:t>
            </w:r>
          </w:p>
        </w:tc>
        <w:tc>
          <w:tcPr>
            <w:tcW w:type="dxa" w:w="8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 el tablero de incidencias del repositorio, nunca en el chat del grupo.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Qué lleva un defecto</w:t>
            </w:r>
          </w:p>
        </w:tc>
        <w:tc>
          <w:tcPr>
            <w:tcW w:type="dxa" w:w="8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Qué se hizo, qué se esperaba, qué pasó y en qué ambiente. Un defecto sin pasos para reproducirlo se devuelve a quien lo reportó.</w:t>
            </w:r>
          </w:p>
        </w:tc>
      </w:tr>
      <w:tr>
        <w:tc>
          <w:tcPr>
            <w:tcW w:type="dxa" w:w="2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Severidad</w:t>
            </w:r>
          </w:p>
        </w:tc>
        <w:tc>
          <w:tcPr>
            <w:tcW w:type="dxa" w:w="82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Crítico si corrompe datos o impide registrar en obra; bloqueante si detiene una historia comprometida; normal en lo demás. Ninguna historia se cierra con un defecto crítico o bloqueante abierto.</w:t>
            </w:r>
          </w:p>
        </w:tc>
      </w:tr>
    </w:tbl>
    <w:p>
      <w:pPr>
        <w:spacing w:before="300"/>
      </w:pPr>
      <w:r>
        <w:rPr>
          <w:rFonts w:ascii="Calibri" w:cs="Calibri" w:eastAsia="Calibri" w:hAnsi="Calibri"/>
          <w:i/>
          <w:iCs/>
          <w:color w:val="6B7987"/>
          <w:sz w:val="18"/>
          <w:szCs w:val="18"/>
        </w:rPr>
        <w:t xml:space="preserve">Versión 1.0, acordada por el Scrum Team el 21 de octubre de 2026. Se revisa en la Retrospectiva del cierre del Sprint 1.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2026-10-21T03:53:38.289Z</dcterms:created>
  <dcterms:modified xsi:type="dcterms:W3CDTF">2026-10-21T03:53:38.289Z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